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33C" w:rsidRPr="0049733C" w:rsidRDefault="0049733C" w:rsidP="00251A63">
      <w:pPr>
        <w:spacing w:after="0" w:line="240" w:lineRule="auto"/>
        <w:jc w:val="right"/>
        <w:rPr>
          <w:b/>
        </w:rPr>
      </w:pPr>
      <w:r w:rsidRPr="0049733C">
        <w:rPr>
          <w:b/>
        </w:rPr>
        <w:t>ΠΑΝΕΛΛΑΔΙΚΕΣ ΕΞΕΤΑΣΕΙΣ</w:t>
      </w:r>
    </w:p>
    <w:p w:rsidR="0049733C" w:rsidRPr="0049733C" w:rsidRDefault="0049733C" w:rsidP="00251A63">
      <w:pPr>
        <w:spacing w:after="0" w:line="240" w:lineRule="auto"/>
        <w:jc w:val="right"/>
        <w:rPr>
          <w:b/>
        </w:rPr>
      </w:pPr>
      <w:r w:rsidRPr="0049733C">
        <w:rPr>
          <w:b/>
        </w:rPr>
        <w:t>Γ΄ ΤΑΞΗ ΗΜΕΡΗΣΙΟΥ ΓΕΝΙΚΟΥ ΛΥΚΕΙΟΥ</w:t>
      </w:r>
    </w:p>
    <w:p w:rsidR="0049733C" w:rsidRPr="0049733C" w:rsidRDefault="0049733C" w:rsidP="00251A63">
      <w:pPr>
        <w:spacing w:after="0" w:line="240" w:lineRule="auto"/>
        <w:jc w:val="right"/>
        <w:rPr>
          <w:b/>
        </w:rPr>
      </w:pPr>
      <w:r w:rsidRPr="0049733C">
        <w:rPr>
          <w:b/>
        </w:rPr>
        <w:t>ΠΑΡΑΣΚΕΥΗ 15 ΙΟΥΝΙΟΥ 2018</w:t>
      </w:r>
    </w:p>
    <w:p w:rsidR="0049733C" w:rsidRPr="00251A63" w:rsidRDefault="0049733C" w:rsidP="00251A63">
      <w:pPr>
        <w:spacing w:after="0" w:line="240" w:lineRule="auto"/>
        <w:jc w:val="right"/>
        <w:rPr>
          <w:b/>
          <w:sz w:val="28"/>
          <w:szCs w:val="28"/>
        </w:rPr>
      </w:pPr>
      <w:r w:rsidRPr="00251A63">
        <w:rPr>
          <w:b/>
          <w:sz w:val="28"/>
          <w:szCs w:val="28"/>
        </w:rPr>
        <w:t>ΧΗΜΕΙΑ ΠΡΟΣΑΝΑΤΟΛΙΣΜΟΥ</w:t>
      </w:r>
    </w:p>
    <w:p w:rsidR="0049733C" w:rsidRDefault="0049733C" w:rsidP="00251A63">
      <w:pPr>
        <w:spacing w:after="0" w:line="240" w:lineRule="auto"/>
        <w:jc w:val="right"/>
      </w:pPr>
    </w:p>
    <w:p w:rsidR="0049733C" w:rsidRPr="0049733C" w:rsidRDefault="0049733C" w:rsidP="0049733C">
      <w:pPr>
        <w:spacing w:after="0" w:line="240" w:lineRule="auto"/>
        <w:jc w:val="center"/>
        <w:rPr>
          <w:i/>
        </w:rPr>
      </w:pPr>
      <w:r w:rsidRPr="0049733C">
        <w:rPr>
          <w:i/>
        </w:rPr>
        <w:t>Ενδεικτικές απαντήσεις</w:t>
      </w:r>
    </w:p>
    <w:p w:rsidR="0049733C" w:rsidRDefault="0049733C" w:rsidP="0049733C">
      <w:pPr>
        <w:spacing w:after="0" w:line="240" w:lineRule="auto"/>
      </w:pPr>
    </w:p>
    <w:p w:rsidR="0049733C" w:rsidRPr="0049733C" w:rsidRDefault="0049733C" w:rsidP="0049733C">
      <w:pPr>
        <w:spacing w:after="0" w:line="240" w:lineRule="auto"/>
        <w:rPr>
          <w:b/>
        </w:rPr>
      </w:pPr>
      <w:r w:rsidRPr="0049733C">
        <w:rPr>
          <w:b/>
        </w:rPr>
        <w:t xml:space="preserve">Θέμα Α </w:t>
      </w:r>
    </w:p>
    <w:p w:rsidR="0049733C" w:rsidRDefault="0049733C" w:rsidP="0049733C">
      <w:pPr>
        <w:spacing w:after="0" w:line="240" w:lineRule="auto"/>
        <w:jc w:val="both"/>
      </w:pPr>
      <w:r w:rsidRPr="0049733C">
        <w:rPr>
          <w:b/>
        </w:rPr>
        <w:t>Α.1</w:t>
      </w:r>
      <w:r>
        <w:t xml:space="preserve"> – β </w:t>
      </w:r>
    </w:p>
    <w:p w:rsidR="0049733C" w:rsidRDefault="0049733C" w:rsidP="0049733C">
      <w:pPr>
        <w:spacing w:after="0" w:line="240" w:lineRule="auto"/>
        <w:jc w:val="both"/>
      </w:pPr>
      <w:r w:rsidRPr="0049733C">
        <w:rPr>
          <w:b/>
        </w:rPr>
        <w:t>Α.2</w:t>
      </w:r>
      <w:r>
        <w:t xml:space="preserve"> - β </w:t>
      </w:r>
    </w:p>
    <w:p w:rsidR="0049733C" w:rsidRDefault="0049733C" w:rsidP="0049733C">
      <w:pPr>
        <w:spacing w:after="0" w:line="240" w:lineRule="auto"/>
        <w:jc w:val="both"/>
      </w:pPr>
      <w:r w:rsidRPr="0049733C">
        <w:rPr>
          <w:b/>
        </w:rPr>
        <w:t>Α.3</w:t>
      </w:r>
      <w:r>
        <w:t xml:space="preserve"> - γ </w:t>
      </w:r>
    </w:p>
    <w:p w:rsidR="0049733C" w:rsidRDefault="0049733C" w:rsidP="0049733C">
      <w:pPr>
        <w:spacing w:after="0" w:line="240" w:lineRule="auto"/>
        <w:jc w:val="both"/>
      </w:pPr>
      <w:r w:rsidRPr="0049733C">
        <w:rPr>
          <w:b/>
        </w:rPr>
        <w:t>Α.4</w:t>
      </w:r>
      <w:r>
        <w:t xml:space="preserve"> - δ </w:t>
      </w:r>
    </w:p>
    <w:p w:rsidR="0049733C" w:rsidRDefault="0049733C" w:rsidP="0049733C">
      <w:pPr>
        <w:spacing w:after="0" w:line="240" w:lineRule="auto"/>
        <w:jc w:val="both"/>
      </w:pPr>
      <w:r w:rsidRPr="0049733C">
        <w:rPr>
          <w:b/>
        </w:rPr>
        <w:t>Α.5</w:t>
      </w:r>
      <w:r>
        <w:t xml:space="preserve"> - δ </w:t>
      </w:r>
    </w:p>
    <w:p w:rsidR="0049733C" w:rsidRDefault="0049733C" w:rsidP="0049733C">
      <w:pPr>
        <w:spacing w:after="0" w:line="240" w:lineRule="auto"/>
        <w:jc w:val="both"/>
      </w:pPr>
    </w:p>
    <w:p w:rsidR="0049733C" w:rsidRPr="0049733C" w:rsidRDefault="0049733C" w:rsidP="0049733C">
      <w:pPr>
        <w:spacing w:after="0" w:line="240" w:lineRule="auto"/>
        <w:jc w:val="both"/>
        <w:rPr>
          <w:b/>
        </w:rPr>
      </w:pPr>
      <w:r w:rsidRPr="0049733C">
        <w:rPr>
          <w:b/>
        </w:rPr>
        <w:t xml:space="preserve">Θέμα Β </w:t>
      </w:r>
    </w:p>
    <w:p w:rsidR="0049733C" w:rsidRPr="0049733C" w:rsidRDefault="0049733C" w:rsidP="0049733C">
      <w:pPr>
        <w:spacing w:after="0" w:line="240" w:lineRule="auto"/>
        <w:jc w:val="both"/>
        <w:rPr>
          <w:b/>
        </w:rPr>
      </w:pPr>
      <w:r w:rsidRPr="0049733C">
        <w:rPr>
          <w:b/>
        </w:rPr>
        <w:t xml:space="preserve">Β1. </w:t>
      </w:r>
    </w:p>
    <w:p w:rsidR="0049733C" w:rsidRDefault="0049733C" w:rsidP="0049733C">
      <w:pPr>
        <w:spacing w:after="0" w:line="240" w:lineRule="auto"/>
        <w:jc w:val="both"/>
      </w:pPr>
      <w:r>
        <w:t xml:space="preserve">α) </w:t>
      </w:r>
      <w:r w:rsidRPr="00E1540F">
        <w:rPr>
          <w:vertAlign w:val="subscript"/>
        </w:rPr>
        <w:t>12</w:t>
      </w:r>
      <w:r>
        <w:t>Mg : 1s</w:t>
      </w:r>
      <w:r w:rsidRPr="0049733C">
        <w:rPr>
          <w:vertAlign w:val="superscript"/>
        </w:rPr>
        <w:t>2</w:t>
      </w:r>
      <w:r>
        <w:t xml:space="preserve"> 2s</w:t>
      </w:r>
      <w:r w:rsidRPr="0049733C">
        <w:rPr>
          <w:vertAlign w:val="superscript"/>
        </w:rPr>
        <w:t>2</w:t>
      </w:r>
      <w:r>
        <w:t xml:space="preserve"> 2p</w:t>
      </w:r>
      <w:r w:rsidRPr="0049733C">
        <w:rPr>
          <w:vertAlign w:val="superscript"/>
        </w:rPr>
        <w:t>6</w:t>
      </w:r>
      <w:r>
        <w:t xml:space="preserve"> 3s</w:t>
      </w:r>
      <w:r w:rsidRPr="0049733C">
        <w:rPr>
          <w:vertAlign w:val="superscript"/>
        </w:rPr>
        <w:t>2</w:t>
      </w:r>
      <w:r>
        <w:t xml:space="preserve"> </w:t>
      </w:r>
    </w:p>
    <w:p w:rsidR="0049733C" w:rsidRDefault="0049733C" w:rsidP="0049733C">
      <w:pPr>
        <w:spacing w:after="0" w:line="240" w:lineRule="auto"/>
        <w:jc w:val="both"/>
      </w:pPr>
      <w:r>
        <w:t xml:space="preserve">Το </w:t>
      </w:r>
      <w:proofErr w:type="spellStart"/>
      <w:r>
        <w:t>Mg</w:t>
      </w:r>
      <w:proofErr w:type="spellEnd"/>
      <w:r>
        <w:t xml:space="preserve"> βρίσκεται στην 3</w:t>
      </w:r>
      <w:r w:rsidRPr="0049733C">
        <w:rPr>
          <w:vertAlign w:val="superscript"/>
        </w:rPr>
        <w:t>η</w:t>
      </w:r>
      <w:r>
        <w:t xml:space="preserve"> περίοδο και ΙΙ</w:t>
      </w:r>
      <w:r w:rsidRPr="0049733C">
        <w:rPr>
          <w:vertAlign w:val="subscript"/>
        </w:rPr>
        <w:t>Α</w:t>
      </w:r>
      <w:r>
        <w:t xml:space="preserve"> ομάδα του περιοδικού πίνακα. </w:t>
      </w:r>
    </w:p>
    <w:p w:rsidR="0049733C" w:rsidRDefault="0049733C" w:rsidP="0049733C">
      <w:pPr>
        <w:spacing w:after="0" w:line="240" w:lineRule="auto"/>
        <w:jc w:val="both"/>
        <w:rPr>
          <w:vertAlign w:val="superscript"/>
        </w:rPr>
      </w:pPr>
      <w:r w:rsidRPr="0049733C">
        <w:rPr>
          <w:vertAlign w:val="subscript"/>
        </w:rPr>
        <w:t>5</w:t>
      </w:r>
      <w:r>
        <w:t>Β : 1s</w:t>
      </w:r>
      <w:r w:rsidRPr="0049733C">
        <w:rPr>
          <w:vertAlign w:val="superscript"/>
        </w:rPr>
        <w:t>2</w:t>
      </w:r>
      <w:r>
        <w:t xml:space="preserve"> 2s</w:t>
      </w:r>
      <w:r w:rsidRPr="0049733C">
        <w:rPr>
          <w:vertAlign w:val="superscript"/>
        </w:rPr>
        <w:t>2</w:t>
      </w:r>
      <w:r>
        <w:t xml:space="preserve"> 2p</w:t>
      </w:r>
      <w:r w:rsidRPr="0049733C">
        <w:rPr>
          <w:vertAlign w:val="superscript"/>
        </w:rPr>
        <w:t xml:space="preserve">1 </w:t>
      </w:r>
    </w:p>
    <w:p w:rsidR="0049733C" w:rsidRDefault="0049733C" w:rsidP="0049733C">
      <w:pPr>
        <w:spacing w:after="0" w:line="240" w:lineRule="auto"/>
        <w:jc w:val="both"/>
      </w:pPr>
      <w:r>
        <w:t>Το B βρίσκεται στην 2</w:t>
      </w:r>
      <w:r w:rsidRPr="00E1540F">
        <w:rPr>
          <w:vertAlign w:val="superscript"/>
        </w:rPr>
        <w:t>η</w:t>
      </w:r>
      <w:r>
        <w:t xml:space="preserve"> περίοδο και ΙΙΙ</w:t>
      </w:r>
      <w:r w:rsidRPr="00E1540F">
        <w:rPr>
          <w:vertAlign w:val="subscript"/>
        </w:rPr>
        <w:t>Α</w:t>
      </w:r>
      <w:r>
        <w:t xml:space="preserve"> (ή 13) ομάδα του περιοδικού πίνακα. </w:t>
      </w:r>
    </w:p>
    <w:p w:rsidR="00E1540F" w:rsidRDefault="0049733C" w:rsidP="0049733C">
      <w:pPr>
        <w:spacing w:after="0" w:line="240" w:lineRule="auto"/>
        <w:jc w:val="both"/>
      </w:pPr>
      <w:r>
        <w:t>β) Έστω Χ ένα στοιχείο που βρίσκεται στη 2</w:t>
      </w:r>
      <w:r w:rsidRPr="00E1540F">
        <w:rPr>
          <w:vertAlign w:val="superscript"/>
        </w:rPr>
        <w:t>η</w:t>
      </w:r>
      <w:r>
        <w:t xml:space="preserve"> περίοδο και ΙΙ</w:t>
      </w:r>
      <w:r w:rsidRPr="00E1540F">
        <w:rPr>
          <w:vertAlign w:val="subscript"/>
        </w:rPr>
        <w:t>Α</w:t>
      </w:r>
      <w:r>
        <w:t xml:space="preserve"> ομάδα. Η ατομική ακτίνα κατά μήκος μιας περιόδου ελαττώνεται από τα αριστερά προς τα δεξιά, αφού αυξάνεται ο ατομικός αριθμός και συνεπώς το δραστικό πυρηνικό φορτίο, οπότε η έλξη του πυρήνα στα ηλεκτρόνια της εξωτερικής στιβάδας μεγαλώνει. Το στοιχείο Χ ανήκει στην ίδια περίοδο με το Β αλλά</w:t>
      </w:r>
      <w:r w:rsidR="00E1540F">
        <w:t xml:space="preserve"> πιο αριστερά ,οπότε η ατομική ακτίνα του Χ είναι μεγαλύτερη από την ατομική ακτίνα του Β. Το Χ ανήκει στην ίδια ομάδα με το </w:t>
      </w:r>
      <w:proofErr w:type="spellStart"/>
      <w:r w:rsidR="00E1540F">
        <w:t>Mg</w:t>
      </w:r>
      <w:proofErr w:type="spellEnd"/>
      <w:r w:rsidR="00E1540F">
        <w:t xml:space="preserve"> αλλά πιο πάνω από αυτό, οπότε η ατομική ακτίνα του </w:t>
      </w:r>
      <w:proofErr w:type="spellStart"/>
      <w:r w:rsidR="00E1540F">
        <w:t>Mg</w:t>
      </w:r>
      <w:proofErr w:type="spellEnd"/>
      <w:r w:rsidR="00E1540F">
        <w:t xml:space="preserve"> είναι μεγαλύτερη από την ατομική ακτίνα του Χ. </w:t>
      </w:r>
    </w:p>
    <w:p w:rsidR="00E1540F" w:rsidRDefault="00E1540F" w:rsidP="0049733C">
      <w:pPr>
        <w:spacing w:after="0" w:line="240" w:lineRule="auto"/>
        <w:jc w:val="both"/>
      </w:pPr>
      <w:r>
        <w:t xml:space="preserve">Τελικά </w:t>
      </w:r>
      <w:proofErr w:type="spellStart"/>
      <w:r>
        <w:t>r</w:t>
      </w:r>
      <w:r w:rsidRPr="00E1540F">
        <w:rPr>
          <w:vertAlign w:val="subscript"/>
        </w:rPr>
        <w:t>Mg</w:t>
      </w:r>
      <w:proofErr w:type="spellEnd"/>
      <w:r w:rsidRPr="00E1540F">
        <w:rPr>
          <w:vertAlign w:val="subscript"/>
        </w:rPr>
        <w:t xml:space="preserve"> </w:t>
      </w:r>
      <w:r>
        <w:t xml:space="preserve">&gt; </w:t>
      </w:r>
      <w:proofErr w:type="spellStart"/>
      <w:r>
        <w:t>r</w:t>
      </w:r>
      <w:r w:rsidRPr="00E1540F">
        <w:rPr>
          <w:vertAlign w:val="subscript"/>
        </w:rPr>
        <w:t>B</w:t>
      </w:r>
      <w:proofErr w:type="spellEnd"/>
      <w:r>
        <w:t xml:space="preserve"> </w:t>
      </w:r>
    </w:p>
    <w:p w:rsidR="00E1540F" w:rsidRDefault="00E1540F" w:rsidP="0049733C">
      <w:pPr>
        <w:spacing w:after="0" w:line="240" w:lineRule="auto"/>
        <w:jc w:val="both"/>
      </w:pPr>
      <w:r>
        <w:t xml:space="preserve">γ) </w:t>
      </w:r>
    </w:p>
    <w:p w:rsidR="00E1540F" w:rsidRPr="00E1540F" w:rsidRDefault="00E1540F" w:rsidP="0049733C">
      <w:pPr>
        <w:spacing w:after="0" w:line="240" w:lineRule="auto"/>
        <w:jc w:val="both"/>
        <w:rPr>
          <w:lang w:val="en-US"/>
        </w:rPr>
      </w:pPr>
      <w:proofErr w:type="gramStart"/>
      <w:r w:rsidRPr="00E1540F">
        <w:rPr>
          <w:lang w:val="en-US"/>
        </w:rPr>
        <w:t>X</w:t>
      </w:r>
      <w:r w:rsidRPr="00E1540F">
        <w:rPr>
          <w:vertAlign w:val="subscript"/>
          <w:lang w:val="en-US"/>
        </w:rPr>
        <w:t>(</w:t>
      </w:r>
      <w:proofErr w:type="gramEnd"/>
      <w:r w:rsidRPr="00E1540F">
        <w:rPr>
          <w:vertAlign w:val="subscript"/>
          <w:lang w:val="en-US"/>
        </w:rPr>
        <w:t>g)</w:t>
      </w:r>
      <w:r w:rsidRPr="00E1540F">
        <w:rPr>
          <w:lang w:val="en-US"/>
        </w:rPr>
        <w:t xml:space="preserve"> → X</w:t>
      </w:r>
      <w:r w:rsidRPr="00E1540F">
        <w:rPr>
          <w:vertAlign w:val="superscript"/>
          <w:lang w:val="en-US"/>
        </w:rPr>
        <w:t>+</w:t>
      </w:r>
      <w:r w:rsidRPr="00E1540F">
        <w:rPr>
          <w:vertAlign w:val="subscript"/>
          <w:lang w:val="en-US"/>
        </w:rPr>
        <w:t>(g)</w:t>
      </w:r>
      <w:r w:rsidRPr="00E1540F">
        <w:rPr>
          <w:lang w:val="en-US"/>
        </w:rPr>
        <w:t xml:space="preserve"> + e</w:t>
      </w:r>
      <w:r w:rsidRPr="00E1540F">
        <w:rPr>
          <w:vertAlign w:val="superscript"/>
          <w:lang w:val="en-US"/>
        </w:rPr>
        <w:t>-</w:t>
      </w:r>
      <w:r w:rsidRPr="00E1540F">
        <w:rPr>
          <w:lang w:val="en-US"/>
        </w:rPr>
        <w:t xml:space="preserve"> , E</w:t>
      </w:r>
      <w:r w:rsidRPr="00E1540F">
        <w:rPr>
          <w:vertAlign w:val="subscript"/>
          <w:lang w:val="en-US"/>
        </w:rPr>
        <w:t>i1</w:t>
      </w:r>
      <w:r w:rsidRPr="00E1540F">
        <w:rPr>
          <w:lang w:val="en-US"/>
        </w:rPr>
        <w:t xml:space="preserve"> </w:t>
      </w:r>
    </w:p>
    <w:p w:rsidR="00E1540F" w:rsidRPr="00E1540F" w:rsidRDefault="00E1540F" w:rsidP="0049733C">
      <w:pPr>
        <w:spacing w:after="0" w:line="240" w:lineRule="auto"/>
        <w:jc w:val="both"/>
        <w:rPr>
          <w:lang w:val="en-US"/>
        </w:rPr>
      </w:pPr>
      <w:r w:rsidRPr="00E1540F">
        <w:rPr>
          <w:lang w:val="en-US"/>
        </w:rPr>
        <w:t>X</w:t>
      </w:r>
      <w:proofErr w:type="gramStart"/>
      <w:r w:rsidRPr="00E1540F">
        <w:rPr>
          <w:vertAlign w:val="superscript"/>
          <w:lang w:val="en-US"/>
        </w:rPr>
        <w:t>+</w:t>
      </w:r>
      <w:r w:rsidRPr="00E1540F">
        <w:rPr>
          <w:vertAlign w:val="subscript"/>
          <w:lang w:val="en-US"/>
        </w:rPr>
        <w:t>(</w:t>
      </w:r>
      <w:proofErr w:type="gramEnd"/>
      <w:r w:rsidRPr="00E1540F">
        <w:rPr>
          <w:vertAlign w:val="subscript"/>
          <w:lang w:val="en-US"/>
        </w:rPr>
        <w:t>g)</w:t>
      </w:r>
      <w:r w:rsidRPr="00E1540F">
        <w:rPr>
          <w:lang w:val="en-US"/>
        </w:rPr>
        <w:t xml:space="preserve"> → X</w:t>
      </w:r>
      <w:r w:rsidRPr="00E1540F">
        <w:rPr>
          <w:vertAlign w:val="superscript"/>
          <w:lang w:val="en-US"/>
        </w:rPr>
        <w:t>2+</w:t>
      </w:r>
      <w:r w:rsidRPr="00E1540F">
        <w:rPr>
          <w:vertAlign w:val="subscript"/>
          <w:lang w:val="en-US"/>
        </w:rPr>
        <w:t>(g)</w:t>
      </w:r>
      <w:r>
        <w:rPr>
          <w:lang w:val="en-US"/>
        </w:rPr>
        <w:t xml:space="preserve"> + e</w:t>
      </w:r>
      <w:r w:rsidRPr="00E1540F">
        <w:rPr>
          <w:vertAlign w:val="superscript"/>
          <w:lang w:val="en-US"/>
        </w:rPr>
        <w:t>-</w:t>
      </w:r>
      <w:r w:rsidRPr="00E1540F">
        <w:rPr>
          <w:lang w:val="en-US"/>
        </w:rPr>
        <w:t xml:space="preserve"> , E</w:t>
      </w:r>
      <w:r w:rsidRPr="00E1540F">
        <w:rPr>
          <w:vertAlign w:val="subscript"/>
          <w:lang w:val="en-US"/>
        </w:rPr>
        <w:t>i2</w:t>
      </w:r>
      <w:r w:rsidRPr="00E1540F">
        <w:rPr>
          <w:lang w:val="en-US"/>
        </w:rPr>
        <w:t xml:space="preserve"> </w:t>
      </w:r>
    </w:p>
    <w:p w:rsidR="00E1540F" w:rsidRPr="00E1540F" w:rsidRDefault="00E1540F" w:rsidP="0049733C">
      <w:pPr>
        <w:spacing w:after="0" w:line="240" w:lineRule="auto"/>
        <w:jc w:val="both"/>
        <w:rPr>
          <w:lang w:val="en-US"/>
        </w:rPr>
      </w:pPr>
      <w:r>
        <w:rPr>
          <w:lang w:val="en-US"/>
        </w:rPr>
        <w:t>X</w:t>
      </w:r>
      <w:r w:rsidRPr="00E1540F">
        <w:rPr>
          <w:vertAlign w:val="superscript"/>
          <w:lang w:val="en-US"/>
        </w:rPr>
        <w:t>2</w:t>
      </w:r>
      <w:proofErr w:type="gramStart"/>
      <w:r w:rsidRPr="00E1540F">
        <w:rPr>
          <w:vertAlign w:val="superscript"/>
          <w:lang w:val="en-US"/>
        </w:rPr>
        <w:t>+</w:t>
      </w:r>
      <w:r w:rsidRPr="00E1540F">
        <w:rPr>
          <w:vertAlign w:val="subscript"/>
          <w:lang w:val="en-US"/>
        </w:rPr>
        <w:t>(</w:t>
      </w:r>
      <w:proofErr w:type="gramEnd"/>
      <w:r w:rsidRPr="00E1540F">
        <w:rPr>
          <w:vertAlign w:val="subscript"/>
          <w:lang w:val="en-US"/>
        </w:rPr>
        <w:t>g)</w:t>
      </w:r>
      <w:r w:rsidRPr="00E1540F">
        <w:rPr>
          <w:lang w:val="en-US"/>
        </w:rPr>
        <w:t xml:space="preserve"> → X</w:t>
      </w:r>
      <w:r w:rsidRPr="00E1540F">
        <w:rPr>
          <w:vertAlign w:val="superscript"/>
          <w:lang w:val="en-US"/>
        </w:rPr>
        <w:t>3+</w:t>
      </w:r>
      <w:r w:rsidRPr="00E1540F">
        <w:rPr>
          <w:vertAlign w:val="subscript"/>
          <w:lang w:val="en-US"/>
        </w:rPr>
        <w:t>(g)</w:t>
      </w:r>
      <w:r>
        <w:rPr>
          <w:lang w:val="en-US"/>
        </w:rPr>
        <w:t xml:space="preserve"> + e</w:t>
      </w:r>
      <w:r w:rsidRPr="00E1540F">
        <w:rPr>
          <w:vertAlign w:val="superscript"/>
          <w:lang w:val="en-US"/>
        </w:rPr>
        <w:t>-</w:t>
      </w:r>
      <w:r w:rsidRPr="00E1540F">
        <w:rPr>
          <w:lang w:val="en-US"/>
        </w:rPr>
        <w:t xml:space="preserve"> , E</w:t>
      </w:r>
      <w:r w:rsidRPr="00E1540F">
        <w:rPr>
          <w:vertAlign w:val="subscript"/>
          <w:lang w:val="en-US"/>
        </w:rPr>
        <w:t>i3</w:t>
      </w:r>
      <w:r w:rsidRPr="00E1540F">
        <w:rPr>
          <w:lang w:val="en-US"/>
        </w:rPr>
        <w:t xml:space="preserve"> </w:t>
      </w:r>
    </w:p>
    <w:p w:rsidR="00307630" w:rsidRPr="00251A63" w:rsidRDefault="00E1540F" w:rsidP="0049733C">
      <w:pPr>
        <w:spacing w:after="0" w:line="240" w:lineRule="auto"/>
        <w:jc w:val="both"/>
        <w:rPr>
          <w:vertAlign w:val="subscript"/>
          <w:lang w:val="en-US"/>
        </w:rPr>
      </w:pPr>
      <w:r>
        <w:rPr>
          <w:lang w:val="en-US"/>
        </w:rPr>
        <w:t>X</w:t>
      </w:r>
      <w:r w:rsidRPr="00251A63">
        <w:rPr>
          <w:vertAlign w:val="superscript"/>
          <w:lang w:val="en-US"/>
        </w:rPr>
        <w:t>3</w:t>
      </w:r>
      <w:proofErr w:type="gramStart"/>
      <w:r w:rsidRPr="00251A63">
        <w:rPr>
          <w:vertAlign w:val="superscript"/>
          <w:lang w:val="en-US"/>
        </w:rPr>
        <w:t>+</w:t>
      </w:r>
      <w:r w:rsidRPr="00251A63">
        <w:rPr>
          <w:vertAlign w:val="subscript"/>
          <w:lang w:val="en-US"/>
        </w:rPr>
        <w:t>(</w:t>
      </w:r>
      <w:proofErr w:type="gramEnd"/>
      <w:r w:rsidRPr="00E1540F">
        <w:rPr>
          <w:vertAlign w:val="subscript"/>
          <w:lang w:val="en-US"/>
        </w:rPr>
        <w:t>g</w:t>
      </w:r>
      <w:r w:rsidRPr="00251A63">
        <w:rPr>
          <w:vertAlign w:val="subscript"/>
          <w:lang w:val="en-US"/>
        </w:rPr>
        <w:t>)</w:t>
      </w:r>
      <w:r w:rsidRPr="00251A63">
        <w:rPr>
          <w:lang w:val="en-US"/>
        </w:rPr>
        <w:t xml:space="preserve"> → </w:t>
      </w:r>
      <w:r w:rsidRPr="00E1540F">
        <w:rPr>
          <w:lang w:val="en-US"/>
        </w:rPr>
        <w:t>X</w:t>
      </w:r>
      <w:r w:rsidRPr="00251A63">
        <w:rPr>
          <w:vertAlign w:val="superscript"/>
          <w:lang w:val="en-US"/>
        </w:rPr>
        <w:t>4+</w:t>
      </w:r>
      <w:r w:rsidRPr="00251A63">
        <w:rPr>
          <w:vertAlign w:val="subscript"/>
          <w:lang w:val="en-US"/>
        </w:rPr>
        <w:t>(</w:t>
      </w:r>
      <w:r w:rsidRPr="00E1540F">
        <w:rPr>
          <w:vertAlign w:val="subscript"/>
          <w:lang w:val="en-US"/>
        </w:rPr>
        <w:t>g</w:t>
      </w:r>
      <w:r w:rsidRPr="00251A63">
        <w:rPr>
          <w:vertAlign w:val="subscript"/>
          <w:lang w:val="en-US"/>
        </w:rPr>
        <w:t>)</w:t>
      </w:r>
      <w:r w:rsidRPr="00251A63">
        <w:rPr>
          <w:lang w:val="en-US"/>
        </w:rPr>
        <w:t xml:space="preserve"> + </w:t>
      </w:r>
      <w:r>
        <w:rPr>
          <w:lang w:val="en-US"/>
        </w:rPr>
        <w:t>e</w:t>
      </w:r>
      <w:r w:rsidRPr="00251A63">
        <w:rPr>
          <w:vertAlign w:val="superscript"/>
          <w:lang w:val="en-US"/>
        </w:rPr>
        <w:t>-</w:t>
      </w:r>
      <w:r w:rsidRPr="00251A63">
        <w:rPr>
          <w:lang w:val="en-US"/>
        </w:rPr>
        <w:t xml:space="preserve"> , </w:t>
      </w:r>
      <w:r w:rsidRPr="00E1540F">
        <w:rPr>
          <w:lang w:val="en-US"/>
        </w:rPr>
        <w:t>E</w:t>
      </w:r>
      <w:r w:rsidRPr="00E1540F">
        <w:rPr>
          <w:vertAlign w:val="subscript"/>
          <w:lang w:val="en-US"/>
        </w:rPr>
        <w:t>i</w:t>
      </w:r>
      <w:r w:rsidRPr="00251A63">
        <w:rPr>
          <w:vertAlign w:val="subscript"/>
          <w:lang w:val="en-US"/>
        </w:rPr>
        <w:t>4</w:t>
      </w:r>
    </w:p>
    <w:p w:rsidR="00E1540F" w:rsidRDefault="00E1540F" w:rsidP="0049733C">
      <w:pPr>
        <w:spacing w:after="0" w:line="240" w:lineRule="auto"/>
        <w:jc w:val="both"/>
      </w:pPr>
      <w:r>
        <w:t>Παρατηρούμε ότι η Ε</w:t>
      </w:r>
      <w:r w:rsidRPr="00E1540F">
        <w:rPr>
          <w:vertAlign w:val="subscript"/>
        </w:rPr>
        <w:t>i3</w:t>
      </w:r>
      <w:r>
        <w:t xml:space="preserve"> &lt;&lt; E</w:t>
      </w:r>
      <w:r w:rsidRPr="00E1540F">
        <w:rPr>
          <w:vertAlign w:val="subscript"/>
        </w:rPr>
        <w:t>i4</w:t>
      </w:r>
      <w:r>
        <w:t xml:space="preserve"> . Για την απομάκρυνση του τέταρτου ηλεκτρονίου απαιτήθηκε σημαντικά μεγαλύτερο ποσό ενέργειας , λόγω της σταθερής δομής τους ιόντος X</w:t>
      </w:r>
      <w:r w:rsidRPr="00E1540F">
        <w:rPr>
          <w:vertAlign w:val="superscript"/>
        </w:rPr>
        <w:t>3+</w:t>
      </w:r>
      <w:r>
        <w:t xml:space="preserve"> . Άρα το στοιχείο Χ έχει 3 ηλεκτρόνια στην εξωτερική στιβάδα. Άρα το στοιχείο Χ είναι το Β. </w:t>
      </w:r>
    </w:p>
    <w:p w:rsidR="00E1540F" w:rsidRDefault="00E1540F" w:rsidP="0049733C">
      <w:pPr>
        <w:spacing w:after="0" w:line="240" w:lineRule="auto"/>
        <w:jc w:val="both"/>
      </w:pPr>
      <w:r>
        <w:t xml:space="preserve">δ)Το ηλεκτρόνιο που απομακρύνεται ευκολότερα είναι αυτό που έχει τη μεγαλύτερη ενέργεια, συνεπώς είναι αυτό που βρίσκεται στην </w:t>
      </w:r>
      <w:proofErr w:type="spellStart"/>
      <w:r>
        <w:t>υποστιβάδα</w:t>
      </w:r>
      <w:proofErr w:type="spellEnd"/>
      <w:r>
        <w:t xml:space="preserve"> 2p. </w:t>
      </w:r>
    </w:p>
    <w:p w:rsidR="00E1540F" w:rsidRDefault="00E1540F" w:rsidP="0049733C">
      <w:pPr>
        <w:spacing w:after="0" w:line="240" w:lineRule="auto"/>
        <w:jc w:val="both"/>
      </w:pPr>
      <w:r>
        <w:t xml:space="preserve">ε) Η δεύτερη ενέργεια ιοντισμού έχει μεγαλύτερη τιμή από τη πρώτη, καθώς πιο εύκολα φεύγει το ηλεκτρόνιο από το ουδέτερο άτομο από ότι από ένα θετικά φορτισμένο ιόν. (το κατιόν έχει μικρότερο μέγεθος, άρα και η έλξη πυρήνα – ηλεκτρονίων εξωτερικής στιβάδας είναι ισχυρότερη) </w:t>
      </w:r>
    </w:p>
    <w:p w:rsidR="00E1540F" w:rsidRDefault="00E1540F" w:rsidP="0049733C">
      <w:pPr>
        <w:spacing w:after="0" w:line="240" w:lineRule="auto"/>
        <w:jc w:val="both"/>
      </w:pPr>
    </w:p>
    <w:p w:rsidR="00E1540F" w:rsidRPr="00E1540F" w:rsidRDefault="00E1540F" w:rsidP="0049733C">
      <w:pPr>
        <w:spacing w:after="0" w:line="240" w:lineRule="auto"/>
        <w:jc w:val="both"/>
        <w:rPr>
          <w:b/>
        </w:rPr>
      </w:pPr>
      <w:r w:rsidRPr="00E1540F">
        <w:rPr>
          <w:b/>
        </w:rPr>
        <w:t xml:space="preserve">Β2. </w:t>
      </w:r>
    </w:p>
    <w:p w:rsidR="00E1540F" w:rsidRDefault="00E1540F" w:rsidP="0049733C">
      <w:pPr>
        <w:spacing w:after="0" w:line="240" w:lineRule="auto"/>
        <w:jc w:val="both"/>
      </w:pPr>
      <w:r>
        <w:t>α) Η καμπύλη (1) αντιστοιχεί στο υδρογόνο (Η</w:t>
      </w:r>
      <w:r w:rsidRPr="00E1540F">
        <w:rPr>
          <w:vertAlign w:val="subscript"/>
        </w:rPr>
        <w:t>2</w:t>
      </w:r>
      <w:r>
        <w:t xml:space="preserve">) και η (2) στο μονοξείδιο του άνθρακα (CO). </w:t>
      </w:r>
    </w:p>
    <w:p w:rsidR="00E1540F" w:rsidRDefault="00E1540F" w:rsidP="0049733C">
      <w:pPr>
        <w:spacing w:after="0" w:line="240" w:lineRule="auto"/>
        <w:jc w:val="both"/>
      </w:pPr>
      <w:r>
        <w:t xml:space="preserve">β) Επειδή ο ρυθμός μεταβολής των συγκεντρώσεων των αντιδρώντων και των προϊόντων είναι ανάλογος με τους αντίστοιχους </w:t>
      </w:r>
      <w:proofErr w:type="spellStart"/>
      <w:r>
        <w:t>στοιχειομετρικούς</w:t>
      </w:r>
      <w:proofErr w:type="spellEnd"/>
      <w:r>
        <w:t xml:space="preserve"> συντελεστές των ουσιών, παρατηρούμε από τις καμπύλες , ότι η μεταβολή της συγκέντρωσης στη καμπύλη 1 είναι διπλάσια από τη μεταβολή της συγκέντρωσης της καμπύλης 2. </w:t>
      </w:r>
    </w:p>
    <w:p w:rsidR="00E1540F" w:rsidRDefault="00E1540F" w:rsidP="0049733C">
      <w:pPr>
        <w:spacing w:after="0" w:line="240" w:lineRule="auto"/>
        <w:jc w:val="both"/>
      </w:pPr>
      <w:r>
        <w:t xml:space="preserve">γ) i) Από το σχήμα παρατηρούμε ότι η τελική συγκέντρωση της </w:t>
      </w:r>
      <w:proofErr w:type="spellStart"/>
      <w:r>
        <w:t>μεθανόλης</w:t>
      </w:r>
      <w:proofErr w:type="spellEnd"/>
      <w:r>
        <w:t xml:space="preserve"> σε θερμοκρασία T</w:t>
      </w:r>
      <w:r w:rsidRPr="00E1540F">
        <w:rPr>
          <w:vertAlign w:val="subscript"/>
        </w:rPr>
        <w:t>2</w:t>
      </w:r>
      <w:r>
        <w:t xml:space="preserve"> είναι μικρότερη από αυτή σε θερμοκρασία Τ</w:t>
      </w:r>
      <w:r w:rsidRPr="00E1540F">
        <w:rPr>
          <w:vertAlign w:val="subscript"/>
        </w:rPr>
        <w:t>1</w:t>
      </w:r>
      <w:r>
        <w:t>. Συνεπώς η χημική ισορροπία σε θερμοκρασία T</w:t>
      </w:r>
      <w:r w:rsidRPr="00E1540F">
        <w:rPr>
          <w:vertAlign w:val="subscript"/>
        </w:rPr>
        <w:t>2</w:t>
      </w:r>
      <w:r>
        <w:t xml:space="preserve"> είναι μετατοπισμένη προς τα αριστερά. Η αντίδραση παραγωγής </w:t>
      </w:r>
      <w:proofErr w:type="spellStart"/>
      <w:r>
        <w:t>μεθανόλης</w:t>
      </w:r>
      <w:proofErr w:type="spellEnd"/>
      <w:r>
        <w:t xml:space="preserve"> είναι εξώθερμη. Γνωρίζουμε ότι με αύξηση της θερμοκρασίας ευνοούνται οι </w:t>
      </w:r>
      <w:proofErr w:type="spellStart"/>
      <w:r>
        <w:t>ενδόθερμες</w:t>
      </w:r>
      <w:proofErr w:type="spellEnd"/>
      <w:r>
        <w:t xml:space="preserve"> αντιδράσεις, δηλαδή η διάσπαση της </w:t>
      </w:r>
      <w:proofErr w:type="spellStart"/>
      <w:r>
        <w:t>μεθανόλης</w:t>
      </w:r>
      <w:proofErr w:type="spellEnd"/>
      <w:r>
        <w:t xml:space="preserve"> (η αντίδραση προς τα αριστερά). Από τα παραπάνω συμπεραίνουμε ότι η θερμοκρασία T</w:t>
      </w:r>
      <w:r w:rsidRPr="00E1540F">
        <w:rPr>
          <w:vertAlign w:val="subscript"/>
        </w:rPr>
        <w:t>2</w:t>
      </w:r>
      <w:r>
        <w:t xml:space="preserve"> θα είναι μεγαλύτερη από την Τ</w:t>
      </w:r>
      <w:r w:rsidRPr="00E1540F">
        <w:rPr>
          <w:vertAlign w:val="subscript"/>
        </w:rPr>
        <w:t>1</w:t>
      </w:r>
      <w:r>
        <w:t xml:space="preserve">. </w:t>
      </w:r>
    </w:p>
    <w:p w:rsidR="00E1540F" w:rsidRDefault="00E1540F" w:rsidP="0049733C">
      <w:pPr>
        <w:spacing w:after="0" w:line="240" w:lineRule="auto"/>
        <w:jc w:val="both"/>
      </w:pPr>
      <w:r>
        <w:t xml:space="preserve">ii) Η αύξηση της θερμοκρασίας οδηγεί σε αύξηση της ταχύτητας της αντίδρασης, άρα η χημική ισορροπία αποκαθίσταται σε μικρότερο χρονικό διάστημα. Αυτό δικαιολογείται από το διάγραμμα όπου φαίνεται ότι η συγκέντρωση της </w:t>
      </w:r>
      <w:proofErr w:type="spellStart"/>
      <w:r>
        <w:t>μεθανόλης</w:t>
      </w:r>
      <w:proofErr w:type="spellEnd"/>
      <w:r>
        <w:t xml:space="preserve"> σταθεροποιείται πιο γρήγορα σε θερμοκρασία Τ</w:t>
      </w:r>
      <w:r w:rsidRPr="00E1540F">
        <w:rPr>
          <w:vertAlign w:val="subscript"/>
        </w:rPr>
        <w:t>2</w:t>
      </w:r>
      <w:r>
        <w:t>.</w:t>
      </w:r>
    </w:p>
    <w:p w:rsidR="00E1540F" w:rsidRDefault="00E1540F" w:rsidP="0049733C">
      <w:pPr>
        <w:spacing w:after="0" w:line="240" w:lineRule="auto"/>
        <w:jc w:val="both"/>
      </w:pPr>
    </w:p>
    <w:p w:rsidR="00E1540F" w:rsidRPr="00E1540F" w:rsidRDefault="00E1540F" w:rsidP="0049733C">
      <w:pPr>
        <w:spacing w:after="0" w:line="240" w:lineRule="auto"/>
        <w:jc w:val="both"/>
        <w:rPr>
          <w:b/>
          <w:i/>
          <w:u w:val="single"/>
        </w:rPr>
      </w:pPr>
      <w:r w:rsidRPr="00E1540F">
        <w:rPr>
          <w:b/>
          <w:i/>
          <w:u w:val="single"/>
        </w:rPr>
        <w:lastRenderedPageBreak/>
        <w:t xml:space="preserve">Παρατήρηση: </w:t>
      </w:r>
    </w:p>
    <w:p w:rsidR="00E1540F" w:rsidRPr="00E1540F" w:rsidRDefault="00E1540F" w:rsidP="0049733C">
      <w:pPr>
        <w:spacing w:after="0" w:line="240" w:lineRule="auto"/>
        <w:jc w:val="both"/>
        <w:rPr>
          <w:i/>
        </w:rPr>
      </w:pPr>
      <w:r w:rsidRPr="00E1540F">
        <w:rPr>
          <w:i/>
        </w:rPr>
        <w:t xml:space="preserve">Η παραπάνω αιτιολόγηση του ii καλύπτει και την απάντηση του i </w:t>
      </w:r>
    </w:p>
    <w:p w:rsidR="00E1540F" w:rsidRDefault="00E1540F" w:rsidP="0049733C">
      <w:pPr>
        <w:spacing w:after="0" w:line="240" w:lineRule="auto"/>
        <w:jc w:val="both"/>
      </w:pPr>
    </w:p>
    <w:p w:rsidR="00E1540F" w:rsidRDefault="00E1540F" w:rsidP="0049733C">
      <w:pPr>
        <w:spacing w:after="0" w:line="240" w:lineRule="auto"/>
        <w:jc w:val="both"/>
      </w:pPr>
      <w:r w:rsidRPr="00E1540F">
        <w:rPr>
          <w:b/>
        </w:rPr>
        <w:t>Β3.</w:t>
      </w:r>
      <w:r>
        <w:t xml:space="preserve"> α) η κατάλυση είναι ομογενής γιατί ο καταλύτης είναι στην ίδια φάση με το </w:t>
      </w:r>
      <w:proofErr w:type="spellStart"/>
      <w:r>
        <w:t>καταλυόμενο</w:t>
      </w:r>
      <w:proofErr w:type="spellEnd"/>
      <w:r>
        <w:t xml:space="preserve"> σύστημα. </w:t>
      </w:r>
    </w:p>
    <w:p w:rsidR="00E1540F" w:rsidRDefault="00E1540F" w:rsidP="0049733C">
      <w:pPr>
        <w:spacing w:after="0" w:line="240" w:lineRule="auto"/>
        <w:jc w:val="both"/>
      </w:pPr>
      <w:r>
        <w:t xml:space="preserve">β) Το Σχήμα 3 </w:t>
      </w:r>
    </w:p>
    <w:p w:rsidR="00E1540F" w:rsidRDefault="00E1540F" w:rsidP="0049733C">
      <w:pPr>
        <w:spacing w:after="0" w:line="240" w:lineRule="auto"/>
        <w:jc w:val="both"/>
      </w:pPr>
      <w:r>
        <w:t>γ) Η αντίδραση 1 είναι εξώθερμη αφού ΔΗ &lt; 0. Άρα η ενθαλπία των αντιδρώντων είναι μεγαλύτερη από την ενθαλπία των προϊόντων. Η αντίδραση 2, πραγματοποιείται με την παρουσία καταλύτη. Ο καταλύτης δημιουργεί μια νέα, συντομότερη πορεία με μικρότερη ενέργεια ενεργοποίησης, γι αυτό και η αντίδραση 2 έχει μικρότερη ενέργεια ενεργοποίησης σε σχέση με την αντίδραση 1.</w:t>
      </w:r>
    </w:p>
    <w:p w:rsidR="00F10BE2" w:rsidRDefault="00F10BE2" w:rsidP="0049733C">
      <w:pPr>
        <w:spacing w:after="0" w:line="240" w:lineRule="auto"/>
        <w:jc w:val="both"/>
      </w:pPr>
    </w:p>
    <w:p w:rsidR="00F10BE2" w:rsidRPr="00F10BE2" w:rsidRDefault="00F10BE2" w:rsidP="0049733C">
      <w:pPr>
        <w:spacing w:after="0" w:line="240" w:lineRule="auto"/>
        <w:jc w:val="both"/>
        <w:rPr>
          <w:b/>
        </w:rPr>
      </w:pPr>
      <w:r w:rsidRPr="00F10BE2">
        <w:rPr>
          <w:b/>
        </w:rPr>
        <w:t xml:space="preserve">Θέμα Γ </w:t>
      </w:r>
    </w:p>
    <w:p w:rsidR="00F10BE2" w:rsidRPr="00F10BE2" w:rsidRDefault="00F10BE2" w:rsidP="0049733C">
      <w:pPr>
        <w:spacing w:after="0" w:line="240" w:lineRule="auto"/>
        <w:jc w:val="both"/>
        <w:rPr>
          <w:b/>
        </w:rPr>
      </w:pPr>
      <w:r w:rsidRPr="00F10BE2">
        <w:rPr>
          <w:b/>
        </w:rPr>
        <w:t xml:space="preserve">Γ.1 </w:t>
      </w:r>
    </w:p>
    <w:p w:rsidR="00F10BE2" w:rsidRPr="00F10BE2" w:rsidRDefault="00F10BE2" w:rsidP="0049733C">
      <w:pPr>
        <w:spacing w:after="0" w:line="240" w:lineRule="auto"/>
        <w:jc w:val="both"/>
        <w:rPr>
          <w:b/>
        </w:rPr>
      </w:pPr>
      <w:r w:rsidRPr="00F10BE2">
        <w:rPr>
          <w:b/>
        </w:rPr>
        <w:t xml:space="preserve">α) </w:t>
      </w:r>
    </w:p>
    <w:p w:rsidR="00F12879" w:rsidRDefault="00F10BE2" w:rsidP="0049733C">
      <w:pPr>
        <w:spacing w:after="0" w:line="240" w:lineRule="auto"/>
        <w:jc w:val="both"/>
        <w:rPr>
          <w:b/>
        </w:rPr>
      </w:pPr>
      <w:r w:rsidRPr="00F10BE2">
        <w:rPr>
          <w:b/>
        </w:rPr>
        <w:t>Α</w:t>
      </w:r>
      <w:r>
        <w:rPr>
          <w:b/>
        </w:rPr>
        <w:t xml:space="preserve"> </w:t>
      </w:r>
      <w:r w:rsidR="00F12879">
        <w:rPr>
          <w:b/>
        </w:rPr>
        <w:tab/>
      </w:r>
      <w:r w:rsidR="00F12879">
        <w:rPr>
          <w:b/>
        </w:rPr>
        <w:tab/>
      </w:r>
      <w:r w:rsidR="00F12879" w:rsidRPr="00F12879">
        <w:rPr>
          <w:b/>
          <w:position w:val="-30"/>
        </w:rPr>
        <w:object w:dxaOrig="3060" w:dyaOrig="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3pt;height:31.5pt" o:ole="">
            <v:imagedata r:id="rId6" o:title=""/>
          </v:shape>
          <o:OLEObject Type="Embed" ProgID="Equation.DSMT4" ShapeID="_x0000_i1025" DrawAspect="Content" ObjectID="_1609666149" r:id="rId7"/>
        </w:object>
      </w:r>
    </w:p>
    <w:p w:rsidR="00F12879" w:rsidRDefault="00F12879" w:rsidP="0049733C">
      <w:pPr>
        <w:spacing w:after="0" w:line="240" w:lineRule="auto"/>
        <w:jc w:val="both"/>
        <w:rPr>
          <w:b/>
        </w:rPr>
      </w:pPr>
      <w:r>
        <w:rPr>
          <w:b/>
        </w:rPr>
        <w:t>Β</w:t>
      </w:r>
      <w:r>
        <w:rPr>
          <w:b/>
        </w:rPr>
        <w:tab/>
      </w:r>
      <w:r>
        <w:rPr>
          <w:b/>
        </w:rPr>
        <w:tab/>
      </w:r>
      <w:r w:rsidRPr="00F12879">
        <w:rPr>
          <w:b/>
          <w:position w:val="-12"/>
        </w:rPr>
        <w:object w:dxaOrig="2880" w:dyaOrig="360">
          <v:shape id="_x0000_i1026" type="#_x0000_t75" style="width:2in;height:21pt" o:ole="">
            <v:imagedata r:id="rId8" o:title=""/>
          </v:shape>
          <o:OLEObject Type="Embed" ProgID="Equation.DSMT4" ShapeID="_x0000_i1026" DrawAspect="Content" ObjectID="_1609666150" r:id="rId9"/>
        </w:object>
      </w:r>
    </w:p>
    <w:p w:rsidR="00F12879" w:rsidRDefault="00F12879" w:rsidP="0049733C">
      <w:pPr>
        <w:spacing w:after="0" w:line="240" w:lineRule="auto"/>
        <w:jc w:val="both"/>
        <w:rPr>
          <w:b/>
        </w:rPr>
      </w:pPr>
    </w:p>
    <w:p w:rsidR="00F12879" w:rsidRDefault="00F12879" w:rsidP="0049733C">
      <w:pPr>
        <w:spacing w:after="0" w:line="240" w:lineRule="auto"/>
        <w:jc w:val="both"/>
        <w:rPr>
          <w:b/>
        </w:rPr>
      </w:pPr>
      <w:r>
        <w:rPr>
          <w:b/>
        </w:rPr>
        <w:t>Γ</w:t>
      </w:r>
      <w:r>
        <w:rPr>
          <w:b/>
        </w:rPr>
        <w:tab/>
      </w:r>
      <w:r>
        <w:rPr>
          <w:b/>
        </w:rPr>
        <w:tab/>
      </w:r>
      <w:r w:rsidRPr="00F12879">
        <w:rPr>
          <w:b/>
          <w:position w:val="-12"/>
        </w:rPr>
        <w:object w:dxaOrig="3120" w:dyaOrig="360">
          <v:shape id="_x0000_i1027" type="#_x0000_t75" style="width:156pt;height:21pt" o:ole="">
            <v:imagedata r:id="rId10" o:title=""/>
          </v:shape>
          <o:OLEObject Type="Embed" ProgID="Equation.DSMT4" ShapeID="_x0000_i1027" DrawAspect="Content" ObjectID="_1609666151" r:id="rId11"/>
        </w:object>
      </w:r>
    </w:p>
    <w:p w:rsidR="00F12879" w:rsidRDefault="00F12879" w:rsidP="0049733C">
      <w:pPr>
        <w:spacing w:after="0" w:line="240" w:lineRule="auto"/>
        <w:jc w:val="both"/>
        <w:rPr>
          <w:b/>
        </w:rPr>
      </w:pPr>
    </w:p>
    <w:p w:rsidR="00F12879" w:rsidRDefault="00F12879" w:rsidP="0049733C">
      <w:pPr>
        <w:spacing w:after="0" w:line="240" w:lineRule="auto"/>
        <w:jc w:val="both"/>
        <w:rPr>
          <w:b/>
        </w:rPr>
      </w:pPr>
      <w:r>
        <w:rPr>
          <w:b/>
        </w:rPr>
        <w:t>Δ</w:t>
      </w:r>
      <w:r>
        <w:rPr>
          <w:b/>
        </w:rPr>
        <w:tab/>
      </w:r>
      <w:r>
        <w:rPr>
          <w:b/>
        </w:rPr>
        <w:tab/>
      </w:r>
      <w:r w:rsidRPr="00F12879">
        <w:rPr>
          <w:b/>
          <w:position w:val="-12"/>
        </w:rPr>
        <w:object w:dxaOrig="2980" w:dyaOrig="360">
          <v:shape id="_x0000_i1028" type="#_x0000_t75" style="width:149pt;height:21pt" o:ole="">
            <v:imagedata r:id="rId12" o:title=""/>
          </v:shape>
          <o:OLEObject Type="Embed" ProgID="Equation.DSMT4" ShapeID="_x0000_i1028" DrawAspect="Content" ObjectID="_1609666152" r:id="rId13"/>
        </w:object>
      </w:r>
    </w:p>
    <w:p w:rsidR="00F12879" w:rsidRDefault="00F12879" w:rsidP="0049733C">
      <w:pPr>
        <w:spacing w:after="0" w:line="240" w:lineRule="auto"/>
        <w:jc w:val="both"/>
        <w:rPr>
          <w:b/>
        </w:rPr>
      </w:pPr>
    </w:p>
    <w:p w:rsidR="00F12879" w:rsidRDefault="00F12879" w:rsidP="0049733C">
      <w:pPr>
        <w:spacing w:after="0" w:line="240" w:lineRule="auto"/>
        <w:jc w:val="both"/>
        <w:rPr>
          <w:b/>
        </w:rPr>
      </w:pPr>
      <w:r>
        <w:rPr>
          <w:b/>
        </w:rPr>
        <w:t>Λ</w:t>
      </w:r>
      <w:r>
        <w:rPr>
          <w:b/>
        </w:rPr>
        <w:tab/>
      </w:r>
      <w:r>
        <w:rPr>
          <w:b/>
        </w:rPr>
        <w:tab/>
      </w:r>
      <w:r w:rsidRPr="00F12879">
        <w:rPr>
          <w:b/>
          <w:position w:val="-12"/>
        </w:rPr>
        <w:object w:dxaOrig="3540" w:dyaOrig="360">
          <v:shape id="_x0000_i1029" type="#_x0000_t75" style="width:177pt;height:21pt" o:ole="">
            <v:imagedata r:id="rId14" o:title=""/>
          </v:shape>
          <o:OLEObject Type="Embed" ProgID="Equation.DSMT4" ShapeID="_x0000_i1029" DrawAspect="Content" ObjectID="_1609666153" r:id="rId15"/>
        </w:object>
      </w:r>
    </w:p>
    <w:p w:rsidR="00F12879" w:rsidRDefault="00F12879" w:rsidP="0049733C">
      <w:pPr>
        <w:spacing w:after="0" w:line="240" w:lineRule="auto"/>
        <w:jc w:val="both"/>
        <w:rPr>
          <w:b/>
        </w:rPr>
      </w:pPr>
    </w:p>
    <w:p w:rsidR="00F12879" w:rsidRDefault="00F12879" w:rsidP="0049733C">
      <w:pPr>
        <w:spacing w:after="0" w:line="240" w:lineRule="auto"/>
        <w:jc w:val="both"/>
        <w:rPr>
          <w:b/>
        </w:rPr>
      </w:pPr>
      <w:r>
        <w:rPr>
          <w:b/>
        </w:rPr>
        <w:t>Χ</w:t>
      </w:r>
      <w:r>
        <w:rPr>
          <w:b/>
        </w:rPr>
        <w:tab/>
      </w:r>
      <w:r>
        <w:rPr>
          <w:b/>
        </w:rPr>
        <w:tab/>
      </w:r>
      <w:r w:rsidRPr="00F12879">
        <w:rPr>
          <w:b/>
          <w:position w:val="-12"/>
        </w:rPr>
        <w:object w:dxaOrig="460" w:dyaOrig="360">
          <v:shape id="_x0000_i1030" type="#_x0000_t75" style="width:23pt;height:18pt" o:ole="">
            <v:imagedata r:id="rId16" o:title=""/>
          </v:shape>
          <o:OLEObject Type="Embed" ProgID="Equation.DSMT4" ShapeID="_x0000_i1030" DrawAspect="Content" ObjectID="_1609666154" r:id="rId17"/>
        </w:object>
      </w:r>
    </w:p>
    <w:p w:rsidR="00F12879" w:rsidRDefault="00F12879" w:rsidP="0049733C">
      <w:pPr>
        <w:spacing w:after="0" w:line="240" w:lineRule="auto"/>
        <w:jc w:val="both"/>
        <w:rPr>
          <w:b/>
        </w:rPr>
      </w:pPr>
    </w:p>
    <w:p w:rsidR="00F12879" w:rsidRDefault="00F12879" w:rsidP="0049733C">
      <w:pPr>
        <w:spacing w:after="0" w:line="240" w:lineRule="auto"/>
        <w:jc w:val="both"/>
        <w:rPr>
          <w:b/>
        </w:rPr>
      </w:pPr>
      <w:r>
        <w:rPr>
          <w:b/>
        </w:rPr>
        <w:t>Ε</w:t>
      </w:r>
      <w:r>
        <w:rPr>
          <w:b/>
        </w:rPr>
        <w:tab/>
      </w:r>
      <w:r>
        <w:rPr>
          <w:b/>
        </w:rPr>
        <w:tab/>
      </w:r>
      <w:r w:rsidRPr="00F12879">
        <w:rPr>
          <w:b/>
          <w:position w:val="-30"/>
        </w:rPr>
        <w:object w:dxaOrig="3159" w:dyaOrig="540">
          <v:shape id="_x0000_i1031" type="#_x0000_t75" style="width:158pt;height:31.5pt" o:ole="">
            <v:imagedata r:id="rId18" o:title=""/>
          </v:shape>
          <o:OLEObject Type="Embed" ProgID="Equation.DSMT4" ShapeID="_x0000_i1031" DrawAspect="Content" ObjectID="_1609666155" r:id="rId19"/>
        </w:object>
      </w:r>
    </w:p>
    <w:p w:rsidR="00F12879" w:rsidRDefault="00F12879" w:rsidP="0049733C">
      <w:pPr>
        <w:spacing w:after="0" w:line="240" w:lineRule="auto"/>
        <w:jc w:val="both"/>
        <w:rPr>
          <w:b/>
        </w:rPr>
      </w:pPr>
    </w:p>
    <w:p w:rsidR="00F12879" w:rsidRDefault="00F12879" w:rsidP="0049733C">
      <w:pPr>
        <w:spacing w:after="0" w:line="240" w:lineRule="auto"/>
        <w:jc w:val="both"/>
        <w:rPr>
          <w:b/>
        </w:rPr>
      </w:pPr>
      <w:r>
        <w:rPr>
          <w:b/>
        </w:rPr>
        <w:t>Θ</w:t>
      </w:r>
      <w:r>
        <w:rPr>
          <w:b/>
        </w:rPr>
        <w:tab/>
      </w:r>
      <w:r>
        <w:rPr>
          <w:b/>
        </w:rPr>
        <w:tab/>
      </w:r>
      <w:r w:rsidR="003D059D" w:rsidRPr="00F12879">
        <w:rPr>
          <w:b/>
          <w:position w:val="-32"/>
        </w:rPr>
        <w:object w:dxaOrig="3340" w:dyaOrig="800">
          <v:shape id="_x0000_i1032" type="#_x0000_t75" style="width:167pt;height:46.5pt" o:ole="">
            <v:imagedata r:id="rId20" o:title=""/>
          </v:shape>
          <o:OLEObject Type="Embed" ProgID="Equation.DSMT4" ShapeID="_x0000_i1032" DrawAspect="Content" ObjectID="_1609666156" r:id="rId21"/>
        </w:object>
      </w:r>
    </w:p>
    <w:p w:rsidR="00F12879" w:rsidRDefault="00F12879" w:rsidP="0049733C">
      <w:pPr>
        <w:spacing w:after="0" w:line="240" w:lineRule="auto"/>
        <w:jc w:val="both"/>
        <w:rPr>
          <w:b/>
        </w:rPr>
      </w:pPr>
    </w:p>
    <w:p w:rsidR="00F12879" w:rsidRDefault="00F12879" w:rsidP="0049733C">
      <w:pPr>
        <w:spacing w:after="0" w:line="240" w:lineRule="auto"/>
        <w:jc w:val="both"/>
        <w:rPr>
          <w:b/>
        </w:rPr>
      </w:pPr>
      <w:r>
        <w:rPr>
          <w:b/>
        </w:rPr>
        <w:t>Ι</w:t>
      </w:r>
      <w:r>
        <w:rPr>
          <w:b/>
        </w:rPr>
        <w:tab/>
      </w:r>
      <w:r>
        <w:rPr>
          <w:b/>
        </w:rPr>
        <w:tab/>
      </w:r>
      <w:r w:rsidRPr="00F12879">
        <w:rPr>
          <w:b/>
          <w:position w:val="-30"/>
        </w:rPr>
        <w:object w:dxaOrig="3200" w:dyaOrig="780">
          <v:shape id="_x0000_i1033" type="#_x0000_t75" style="width:160pt;height:45.5pt" o:ole="">
            <v:imagedata r:id="rId22" o:title=""/>
          </v:shape>
          <o:OLEObject Type="Embed" ProgID="Equation.DSMT4" ShapeID="_x0000_i1033" DrawAspect="Content" ObjectID="_1609666157" r:id="rId23"/>
        </w:object>
      </w:r>
    </w:p>
    <w:p w:rsidR="00F12879" w:rsidRDefault="00F12879" w:rsidP="0049733C">
      <w:pPr>
        <w:spacing w:after="0" w:line="240" w:lineRule="auto"/>
        <w:jc w:val="both"/>
        <w:rPr>
          <w:b/>
        </w:rPr>
      </w:pPr>
    </w:p>
    <w:p w:rsidR="00F12879" w:rsidRDefault="00F12879" w:rsidP="0049733C">
      <w:pPr>
        <w:spacing w:after="0" w:line="240" w:lineRule="auto"/>
        <w:jc w:val="both"/>
        <w:rPr>
          <w:b/>
        </w:rPr>
      </w:pPr>
      <w:r>
        <w:rPr>
          <w:b/>
        </w:rPr>
        <w:t>Ψ</w:t>
      </w:r>
      <w:r>
        <w:rPr>
          <w:b/>
        </w:rPr>
        <w:tab/>
      </w:r>
      <w:r>
        <w:rPr>
          <w:b/>
        </w:rPr>
        <w:tab/>
      </w:r>
      <w:r w:rsidRPr="00F12879">
        <w:rPr>
          <w:b/>
          <w:position w:val="-6"/>
        </w:rPr>
        <w:object w:dxaOrig="400" w:dyaOrig="260">
          <v:shape id="_x0000_i1034" type="#_x0000_t75" style="width:20pt;height:13pt" o:ole="">
            <v:imagedata r:id="rId24" o:title=""/>
          </v:shape>
          <o:OLEObject Type="Embed" ProgID="Equation.DSMT4" ShapeID="_x0000_i1034" DrawAspect="Content" ObjectID="_1609666158" r:id="rId25"/>
        </w:object>
      </w:r>
    </w:p>
    <w:p w:rsidR="00F12879" w:rsidRDefault="00F12879" w:rsidP="0049733C">
      <w:pPr>
        <w:spacing w:after="0" w:line="240" w:lineRule="auto"/>
        <w:jc w:val="both"/>
        <w:rPr>
          <w:b/>
        </w:rPr>
      </w:pPr>
    </w:p>
    <w:p w:rsidR="00F12879" w:rsidRDefault="00F12879" w:rsidP="0049733C">
      <w:pPr>
        <w:spacing w:after="0" w:line="240" w:lineRule="auto"/>
        <w:jc w:val="both"/>
        <w:rPr>
          <w:b/>
        </w:rPr>
      </w:pPr>
      <w:r>
        <w:rPr>
          <w:b/>
        </w:rPr>
        <w:t>Ζ</w:t>
      </w:r>
      <w:r>
        <w:rPr>
          <w:b/>
        </w:rPr>
        <w:tab/>
      </w:r>
      <w:r>
        <w:rPr>
          <w:b/>
        </w:rPr>
        <w:tab/>
      </w:r>
      <w:r w:rsidR="003D059D" w:rsidRPr="00F12879">
        <w:rPr>
          <w:b/>
          <w:position w:val="-30"/>
        </w:rPr>
        <w:object w:dxaOrig="3300" w:dyaOrig="540">
          <v:shape id="_x0000_i1035" type="#_x0000_t75" style="width:165pt;height:31.5pt" o:ole="">
            <v:imagedata r:id="rId26" o:title=""/>
          </v:shape>
          <o:OLEObject Type="Embed" ProgID="Equation.DSMT4" ShapeID="_x0000_i1035" DrawAspect="Content" ObjectID="_1609666159" r:id="rId27"/>
        </w:object>
      </w:r>
    </w:p>
    <w:p w:rsidR="003D059D" w:rsidRDefault="003D059D" w:rsidP="0049733C">
      <w:pPr>
        <w:spacing w:after="0" w:line="240" w:lineRule="auto"/>
        <w:jc w:val="both"/>
        <w:rPr>
          <w:b/>
        </w:rPr>
      </w:pPr>
    </w:p>
    <w:p w:rsidR="003D059D" w:rsidRDefault="003D059D" w:rsidP="0049733C">
      <w:pPr>
        <w:spacing w:after="0" w:line="240" w:lineRule="auto"/>
        <w:jc w:val="both"/>
        <w:rPr>
          <w:b/>
        </w:rPr>
      </w:pPr>
      <w:r w:rsidRPr="003D059D">
        <w:rPr>
          <w:b/>
        </w:rPr>
        <w:t>Κ</w:t>
      </w:r>
      <w:r>
        <w:rPr>
          <w:b/>
        </w:rPr>
        <w:tab/>
      </w:r>
      <w:r>
        <w:rPr>
          <w:b/>
        </w:rPr>
        <w:tab/>
      </w:r>
      <w:r w:rsidRPr="00F12879">
        <w:rPr>
          <w:b/>
          <w:position w:val="-30"/>
        </w:rPr>
        <w:object w:dxaOrig="3300" w:dyaOrig="540">
          <v:shape id="_x0000_i1036" type="#_x0000_t75" style="width:165pt;height:31.5pt" o:ole="">
            <v:imagedata r:id="rId28" o:title=""/>
          </v:shape>
          <o:OLEObject Type="Embed" ProgID="Equation.DSMT4" ShapeID="_x0000_i1036" DrawAspect="Content" ObjectID="_1609666160" r:id="rId29"/>
        </w:object>
      </w:r>
    </w:p>
    <w:p w:rsidR="003D059D" w:rsidRDefault="003D059D" w:rsidP="0049733C">
      <w:pPr>
        <w:spacing w:after="0" w:line="240" w:lineRule="auto"/>
        <w:jc w:val="both"/>
        <w:rPr>
          <w:b/>
        </w:rPr>
      </w:pPr>
    </w:p>
    <w:p w:rsidR="003D059D" w:rsidRDefault="003D059D" w:rsidP="0049733C">
      <w:pPr>
        <w:spacing w:after="0" w:line="240" w:lineRule="auto"/>
        <w:jc w:val="both"/>
      </w:pPr>
      <w:r>
        <w:rPr>
          <w:b/>
        </w:rPr>
        <w:t xml:space="preserve">β) </w:t>
      </w:r>
      <w:r>
        <w:t xml:space="preserve">Για έλεγχο </w:t>
      </w:r>
      <w:proofErr w:type="spellStart"/>
      <w:r>
        <w:t>ακορεστότητας</w:t>
      </w:r>
      <w:proofErr w:type="spellEnd"/>
      <w:r>
        <w:t xml:space="preserve"> από τα παραπάνω αντιδραστήρια μπορούμε να χρησιμοποιήσουμε διάλυμα Br</w:t>
      </w:r>
      <w:r w:rsidRPr="003D059D">
        <w:rPr>
          <w:vertAlign w:val="subscript"/>
        </w:rPr>
        <w:t>2</w:t>
      </w:r>
      <w:r>
        <w:t xml:space="preserve"> σε CCl</w:t>
      </w:r>
      <w:r w:rsidRPr="003D059D">
        <w:rPr>
          <w:vertAlign w:val="subscript"/>
        </w:rPr>
        <w:t>4</w:t>
      </w:r>
      <w:r>
        <w:t>.</w:t>
      </w:r>
    </w:p>
    <w:p w:rsidR="003D059D" w:rsidRDefault="003D059D" w:rsidP="0049733C">
      <w:pPr>
        <w:spacing w:after="0" w:line="240" w:lineRule="auto"/>
        <w:jc w:val="both"/>
      </w:pPr>
    </w:p>
    <w:p w:rsidR="003D059D" w:rsidRDefault="003D059D" w:rsidP="0049733C">
      <w:pPr>
        <w:spacing w:after="0" w:line="240" w:lineRule="auto"/>
        <w:jc w:val="both"/>
        <w:rPr>
          <w:b/>
        </w:rPr>
      </w:pPr>
      <w:r w:rsidRPr="003D059D">
        <w:rPr>
          <w:b/>
        </w:rPr>
        <w:t xml:space="preserve">γ) </w:t>
      </w:r>
      <w:r w:rsidR="00251A63" w:rsidRPr="00F12879">
        <w:rPr>
          <w:b/>
          <w:position w:val="-30"/>
        </w:rPr>
        <w:object w:dxaOrig="9940" w:dyaOrig="560">
          <v:shape id="_x0000_i1037" type="#_x0000_t75" style="width:476pt;height:31pt" o:ole="">
            <v:imagedata r:id="rId30" o:title=""/>
          </v:shape>
          <o:OLEObject Type="Embed" ProgID="Equation.DSMT4" ShapeID="_x0000_i1037" DrawAspect="Content" ObjectID="_1609666161" r:id="rId31"/>
        </w:object>
      </w:r>
    </w:p>
    <w:p w:rsidR="00AD77FA" w:rsidRDefault="00AD77FA" w:rsidP="0049733C">
      <w:pPr>
        <w:spacing w:after="0" w:line="240" w:lineRule="auto"/>
        <w:jc w:val="both"/>
        <w:rPr>
          <w:b/>
        </w:rPr>
      </w:pPr>
    </w:p>
    <w:p w:rsidR="00AD77FA" w:rsidRDefault="00AD77FA" w:rsidP="0049733C">
      <w:pPr>
        <w:spacing w:after="0" w:line="240" w:lineRule="auto"/>
        <w:jc w:val="both"/>
      </w:pPr>
      <w:r>
        <w:rPr>
          <w:b/>
        </w:rPr>
        <w:lastRenderedPageBreak/>
        <w:t xml:space="preserve">δ) </w:t>
      </w:r>
      <w:r>
        <w:t xml:space="preserve">Η ένωση Ε δε δίνει την </w:t>
      </w:r>
      <w:proofErr w:type="spellStart"/>
      <w:r>
        <w:t>ιωδοφορμική</w:t>
      </w:r>
      <w:proofErr w:type="spellEnd"/>
      <w:r>
        <w:t xml:space="preserve"> αντίδραση γιατί δεν είναι του γενικού τύπου:</w:t>
      </w:r>
    </w:p>
    <w:p w:rsidR="00AD77FA" w:rsidRDefault="00AD77FA" w:rsidP="00AD77FA">
      <w:pPr>
        <w:spacing w:after="0" w:line="240" w:lineRule="auto"/>
        <w:jc w:val="center"/>
      </w:pPr>
      <w:r w:rsidRPr="00AD77FA">
        <w:rPr>
          <w:position w:val="-30"/>
        </w:rPr>
        <w:object w:dxaOrig="1680" w:dyaOrig="540">
          <v:shape id="_x0000_i1038" type="#_x0000_t75" style="width:84pt;height:27pt" o:ole="">
            <v:imagedata r:id="rId32" o:title=""/>
          </v:shape>
          <o:OLEObject Type="Embed" ProgID="Equation.DSMT4" ShapeID="_x0000_i1038" DrawAspect="Content" ObjectID="_1609666162" r:id="rId33"/>
        </w:object>
      </w:r>
    </w:p>
    <w:p w:rsidR="00AD77FA" w:rsidRDefault="00AD77FA" w:rsidP="00AD77FA">
      <w:pPr>
        <w:spacing w:after="0" w:line="240" w:lineRule="auto"/>
      </w:pPr>
    </w:p>
    <w:p w:rsidR="00AD77FA" w:rsidRDefault="00AD77FA" w:rsidP="00AD77FA">
      <w:pPr>
        <w:spacing w:after="0" w:line="240" w:lineRule="auto"/>
      </w:pPr>
      <w:r w:rsidRPr="00AD77FA">
        <w:rPr>
          <w:b/>
        </w:rPr>
        <w:t xml:space="preserve">ε) </w:t>
      </w:r>
      <w:r>
        <w:t>Οι ασταθείς ενώσεις που προκύπτουν από την αντίδραση είναι:</w:t>
      </w:r>
    </w:p>
    <w:p w:rsidR="00AD77FA" w:rsidRDefault="00AD77FA" w:rsidP="00AD77FA">
      <w:pPr>
        <w:spacing w:after="0" w:line="240" w:lineRule="auto"/>
        <w:rPr>
          <w:b/>
        </w:rPr>
      </w:pPr>
      <w:r w:rsidRPr="00F12879">
        <w:rPr>
          <w:b/>
          <w:position w:val="-30"/>
        </w:rPr>
        <w:object w:dxaOrig="3080" w:dyaOrig="540">
          <v:shape id="_x0000_i1039" type="#_x0000_t75" style="width:154pt;height:31.5pt" o:ole="">
            <v:imagedata r:id="rId34" o:title=""/>
          </v:shape>
          <o:OLEObject Type="Embed" ProgID="Equation.DSMT4" ShapeID="_x0000_i1039" DrawAspect="Content" ObjectID="_1609666163" r:id="rId35"/>
        </w:object>
      </w:r>
      <w:r>
        <w:rPr>
          <w:b/>
        </w:rPr>
        <w:t xml:space="preserve">              </w:t>
      </w:r>
      <w:r w:rsidRPr="00F12879">
        <w:rPr>
          <w:b/>
          <w:position w:val="-30"/>
        </w:rPr>
        <w:object w:dxaOrig="3140" w:dyaOrig="540">
          <v:shape id="_x0000_i1040" type="#_x0000_t75" style="width:157pt;height:31.5pt" o:ole="">
            <v:imagedata r:id="rId36" o:title=""/>
          </v:shape>
          <o:OLEObject Type="Embed" ProgID="Equation.DSMT4" ShapeID="_x0000_i1040" DrawAspect="Content" ObjectID="_1609666164" r:id="rId37"/>
        </w:object>
      </w:r>
    </w:p>
    <w:p w:rsidR="00AD77FA" w:rsidRDefault="00AD77FA" w:rsidP="00AD77FA">
      <w:pPr>
        <w:spacing w:after="0" w:line="240" w:lineRule="auto"/>
      </w:pPr>
      <w:r w:rsidRPr="00AD77FA">
        <w:t xml:space="preserve">Τα </w:t>
      </w:r>
      <w:r>
        <w:t>πιθανά προϊόντα είναι:</w:t>
      </w:r>
    </w:p>
    <w:p w:rsidR="00AD77FA" w:rsidRDefault="00AD77FA" w:rsidP="00AD77FA">
      <w:pPr>
        <w:spacing w:after="0" w:line="240" w:lineRule="auto"/>
        <w:rPr>
          <w:b/>
        </w:rPr>
      </w:pPr>
      <w:r w:rsidRPr="00F12879">
        <w:rPr>
          <w:b/>
          <w:position w:val="-30"/>
        </w:rPr>
        <w:object w:dxaOrig="3159" w:dyaOrig="540">
          <v:shape id="_x0000_i1041" type="#_x0000_t75" style="width:158pt;height:31.5pt" o:ole="">
            <v:imagedata r:id="rId38" o:title=""/>
          </v:shape>
          <o:OLEObject Type="Embed" ProgID="Equation.DSMT4" ShapeID="_x0000_i1041" DrawAspect="Content" ObjectID="_1609666165" r:id="rId39"/>
        </w:object>
      </w:r>
      <w:r>
        <w:rPr>
          <w:b/>
        </w:rPr>
        <w:t xml:space="preserve">              </w:t>
      </w:r>
      <w:r w:rsidRPr="00F12879">
        <w:rPr>
          <w:b/>
          <w:position w:val="-30"/>
        </w:rPr>
        <w:object w:dxaOrig="3379" w:dyaOrig="540">
          <v:shape id="_x0000_i1042" type="#_x0000_t75" style="width:169pt;height:31.5pt" o:ole="">
            <v:imagedata r:id="rId40" o:title=""/>
          </v:shape>
          <o:OLEObject Type="Embed" ProgID="Equation.DSMT4" ShapeID="_x0000_i1042" DrawAspect="Content" ObjectID="_1609666166" r:id="rId41"/>
        </w:object>
      </w:r>
    </w:p>
    <w:p w:rsidR="00AD77FA" w:rsidRDefault="00AD77FA" w:rsidP="00AD77FA">
      <w:pPr>
        <w:spacing w:after="0" w:line="240" w:lineRule="auto"/>
      </w:pPr>
      <w:r>
        <w:t xml:space="preserve">Σε καθένα από τα παραπάνω ζεύγη απαιτείται η γραφή της μιας από τις δύο ενώσεις. </w:t>
      </w:r>
    </w:p>
    <w:p w:rsidR="00AD77FA" w:rsidRDefault="00AD77FA" w:rsidP="00AD77FA">
      <w:pPr>
        <w:spacing w:after="0" w:line="240" w:lineRule="auto"/>
      </w:pPr>
    </w:p>
    <w:p w:rsidR="00AD77FA" w:rsidRDefault="00AD77FA" w:rsidP="00AD77FA">
      <w:pPr>
        <w:spacing w:after="0" w:line="240" w:lineRule="auto"/>
        <w:rPr>
          <w:b/>
        </w:rPr>
      </w:pPr>
      <w:r w:rsidRPr="00AD77FA">
        <w:rPr>
          <w:b/>
        </w:rPr>
        <w:t>Γ.2</w:t>
      </w:r>
    </w:p>
    <w:p w:rsidR="00AD77FA" w:rsidRDefault="00AD77FA" w:rsidP="00AD77FA">
      <w:pPr>
        <w:spacing w:after="0" w:line="240" w:lineRule="auto"/>
      </w:pPr>
      <w:r>
        <w:rPr>
          <w:b/>
        </w:rPr>
        <w:t xml:space="preserve">α) </w:t>
      </w:r>
      <w:r>
        <w:t xml:space="preserve">Βρίσκουμε τα </w:t>
      </w:r>
      <w:proofErr w:type="spellStart"/>
      <w:r>
        <w:t>mol</w:t>
      </w:r>
      <w:proofErr w:type="spellEnd"/>
      <w:r>
        <w:t xml:space="preserve"> του </w:t>
      </w:r>
      <w:proofErr w:type="spellStart"/>
      <w:r>
        <w:t>ελαϊκού</w:t>
      </w:r>
      <w:proofErr w:type="spellEnd"/>
      <w:r>
        <w:t xml:space="preserve"> οξέος: </w:t>
      </w:r>
      <w:r w:rsidRPr="00AD77FA">
        <w:rPr>
          <w:position w:val="-24"/>
        </w:rPr>
        <w:object w:dxaOrig="2400" w:dyaOrig="620">
          <v:shape id="_x0000_i1043" type="#_x0000_t75" style="width:120pt;height:31pt" o:ole="">
            <v:imagedata r:id="rId42" o:title=""/>
          </v:shape>
          <o:OLEObject Type="Embed" ProgID="Equation.DSMT4" ShapeID="_x0000_i1043" DrawAspect="Content" ObjectID="_1609666167" r:id="rId43"/>
        </w:object>
      </w:r>
    </w:p>
    <w:p w:rsidR="00AD77FA" w:rsidRDefault="00AD77FA" w:rsidP="00AD77FA">
      <w:pPr>
        <w:spacing w:after="0" w:line="240" w:lineRule="auto"/>
      </w:pPr>
      <w:r>
        <w:t xml:space="preserve">Βρίσκουμε τα </w:t>
      </w:r>
      <w:proofErr w:type="spellStart"/>
      <w:r>
        <w:t>mol</w:t>
      </w:r>
      <w:proofErr w:type="spellEnd"/>
      <w:r>
        <w:t xml:space="preserve"> του Br</w:t>
      </w:r>
      <w:r w:rsidRPr="00AD77FA">
        <w:rPr>
          <w:vertAlign w:val="subscript"/>
        </w:rPr>
        <w:t>2</w:t>
      </w:r>
      <w:r>
        <w:t xml:space="preserve">: </w:t>
      </w:r>
      <w:r w:rsidRPr="00AD77FA">
        <w:rPr>
          <w:position w:val="-12"/>
        </w:rPr>
        <w:object w:dxaOrig="2640" w:dyaOrig="360">
          <v:shape id="_x0000_i1044" type="#_x0000_t75" style="width:132pt;height:18pt" o:ole="">
            <v:imagedata r:id="rId44" o:title=""/>
          </v:shape>
          <o:OLEObject Type="Embed" ProgID="Equation.DSMT4" ShapeID="_x0000_i1044" DrawAspect="Content" ObjectID="_1609666168" r:id="rId45"/>
        </w:object>
      </w:r>
    </w:p>
    <w:p w:rsidR="00AD77FA" w:rsidRDefault="00AD77FA" w:rsidP="00AD77FA">
      <w:pPr>
        <w:spacing w:after="0" w:line="240" w:lineRule="auto"/>
        <w:jc w:val="center"/>
      </w:pPr>
      <w:r>
        <w:rPr>
          <w:noProof/>
          <w:lang w:eastAsia="el-GR"/>
        </w:rPr>
        <w:drawing>
          <wp:inline distT="0" distB="0" distL="0" distR="0">
            <wp:extent cx="2666231" cy="1130300"/>
            <wp:effectExtent l="19050" t="0" r="769" b="0"/>
            <wp:docPr id="81" name="Εικόνα 81" descr="C:\Users\maria\Desktop\Χωρίς τίτλο.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C:\Users\maria\Desktop\Χωρίς τίτλο.png"/>
                    <pic:cNvPicPr>
                      <a:picLocks noChangeAspect="1" noChangeArrowheads="1"/>
                    </pic:cNvPicPr>
                  </pic:nvPicPr>
                  <pic:blipFill>
                    <a:blip r:embed="rId46" cstate="print"/>
                    <a:srcRect/>
                    <a:stretch>
                      <a:fillRect/>
                    </a:stretch>
                  </pic:blipFill>
                  <pic:spPr bwMode="auto">
                    <a:xfrm>
                      <a:off x="0" y="0"/>
                      <a:ext cx="2666253" cy="1130309"/>
                    </a:xfrm>
                    <a:prstGeom prst="rect">
                      <a:avLst/>
                    </a:prstGeom>
                    <a:noFill/>
                    <a:ln w="9525">
                      <a:noFill/>
                      <a:miter lim="800000"/>
                      <a:headEnd/>
                      <a:tailEnd/>
                    </a:ln>
                  </pic:spPr>
                </pic:pic>
              </a:graphicData>
            </a:graphic>
          </wp:inline>
        </w:drawing>
      </w:r>
    </w:p>
    <w:p w:rsidR="00AD77FA" w:rsidRDefault="00AD77FA" w:rsidP="00AD77FA">
      <w:pPr>
        <w:spacing w:after="0" w:line="240" w:lineRule="auto"/>
      </w:pPr>
      <w:r>
        <w:t xml:space="preserve">Η </w:t>
      </w:r>
      <w:proofErr w:type="spellStart"/>
      <w:r>
        <w:t>Mr</w:t>
      </w:r>
      <w:proofErr w:type="spellEnd"/>
      <w:r>
        <w:t xml:space="preserve"> του προϊόντος είναι: Mr=282+160=442. Οπότε η μάζα του προϊόντος υπολογίζεται:</w:t>
      </w:r>
    </w:p>
    <w:p w:rsidR="00AD77FA" w:rsidRDefault="00AD77FA" w:rsidP="00AD77FA">
      <w:pPr>
        <w:spacing w:after="0" w:line="240" w:lineRule="auto"/>
      </w:pPr>
      <w:r w:rsidRPr="00AD77FA">
        <w:rPr>
          <w:position w:val="-14"/>
        </w:rPr>
        <w:object w:dxaOrig="3879" w:dyaOrig="420">
          <v:shape id="_x0000_i1045" type="#_x0000_t75" style="width:194pt;height:21pt" o:ole="">
            <v:imagedata r:id="rId47" o:title=""/>
          </v:shape>
          <o:OLEObject Type="Embed" ProgID="Equation.DSMT4" ShapeID="_x0000_i1045" DrawAspect="Content" ObjectID="_1609666169" r:id="rId48"/>
        </w:object>
      </w:r>
    </w:p>
    <w:p w:rsidR="00AD77FA" w:rsidRDefault="00AD77FA" w:rsidP="00AD77FA">
      <w:pPr>
        <w:spacing w:after="0" w:line="240" w:lineRule="auto"/>
      </w:pPr>
      <w:r w:rsidRPr="00AD77FA">
        <w:rPr>
          <w:b/>
        </w:rPr>
        <w:t xml:space="preserve">β) </w:t>
      </w:r>
      <w:r w:rsidR="00C27EEC">
        <w:t xml:space="preserve">Στο διάλυμα Δ περιέχονται 0,3 </w:t>
      </w:r>
      <w:proofErr w:type="spellStart"/>
      <w:r w:rsidR="00C27EEC">
        <w:t>mol</w:t>
      </w:r>
      <w:proofErr w:type="spellEnd"/>
      <w:r w:rsidR="00C27EEC">
        <w:t xml:space="preserve"> Br</w:t>
      </w:r>
      <w:r w:rsidR="00C27EEC" w:rsidRPr="00C27EEC">
        <w:rPr>
          <w:vertAlign w:val="subscript"/>
        </w:rPr>
        <w:t>2</w:t>
      </w:r>
      <w:r w:rsidR="00C27EEC">
        <w:t xml:space="preserve">. Για να αποχρωματιστεί το διάλυμα Δ πρέπει να αντιδράσουν πλήρως 0,3 </w:t>
      </w:r>
      <w:proofErr w:type="spellStart"/>
      <w:r w:rsidR="00C27EEC">
        <w:t>mol</w:t>
      </w:r>
      <w:proofErr w:type="spellEnd"/>
      <w:r w:rsidR="00C27EEC">
        <w:t xml:space="preserve"> Br</w:t>
      </w:r>
      <w:r w:rsidR="00C27EEC" w:rsidRPr="00C27EEC">
        <w:rPr>
          <w:vertAlign w:val="subscript"/>
        </w:rPr>
        <w:t>2</w:t>
      </w:r>
      <w:r w:rsidR="00C27EEC">
        <w:t xml:space="preserve"> σύμφωνα με την αντίδραση:</w:t>
      </w:r>
    </w:p>
    <w:p w:rsidR="00C27EEC" w:rsidRDefault="00C27EEC" w:rsidP="00C27EEC">
      <w:pPr>
        <w:spacing w:after="0" w:line="240" w:lineRule="auto"/>
        <w:jc w:val="center"/>
      </w:pPr>
      <w:r>
        <w:rPr>
          <w:noProof/>
          <w:lang w:eastAsia="el-GR"/>
        </w:rPr>
        <w:drawing>
          <wp:inline distT="0" distB="0" distL="0" distR="0">
            <wp:extent cx="2679700" cy="1376062"/>
            <wp:effectExtent l="19050" t="0" r="6350" b="0"/>
            <wp:docPr id="85" name="Εικόνα 85" descr="C:\Users\maria\Desktop\Χωρίς τίτλο.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C:\Users\maria\Desktop\Χωρίς τίτλο.png"/>
                    <pic:cNvPicPr>
                      <a:picLocks noChangeAspect="1" noChangeArrowheads="1"/>
                    </pic:cNvPicPr>
                  </pic:nvPicPr>
                  <pic:blipFill>
                    <a:blip r:embed="rId49" cstate="print"/>
                    <a:srcRect/>
                    <a:stretch>
                      <a:fillRect/>
                    </a:stretch>
                  </pic:blipFill>
                  <pic:spPr bwMode="auto">
                    <a:xfrm>
                      <a:off x="0" y="0"/>
                      <a:ext cx="2685325" cy="1378951"/>
                    </a:xfrm>
                    <a:prstGeom prst="rect">
                      <a:avLst/>
                    </a:prstGeom>
                    <a:noFill/>
                    <a:ln w="9525">
                      <a:noFill/>
                      <a:miter lim="800000"/>
                      <a:headEnd/>
                      <a:tailEnd/>
                    </a:ln>
                  </pic:spPr>
                </pic:pic>
              </a:graphicData>
            </a:graphic>
          </wp:inline>
        </w:drawing>
      </w:r>
    </w:p>
    <w:p w:rsidR="00C27EEC" w:rsidRDefault="00C27EEC" w:rsidP="00C27EEC">
      <w:pPr>
        <w:spacing w:after="0" w:line="240" w:lineRule="auto"/>
      </w:pPr>
      <w:r w:rsidRPr="00C27EEC">
        <w:rPr>
          <w:position w:val="-30"/>
        </w:rPr>
        <w:object w:dxaOrig="4680" w:dyaOrig="680">
          <v:shape id="_x0000_i1046" type="#_x0000_t75" style="width:234pt;height:34pt" o:ole="">
            <v:imagedata r:id="rId50" o:title=""/>
          </v:shape>
          <o:OLEObject Type="Embed" ProgID="Equation.DSMT4" ShapeID="_x0000_i1046" DrawAspect="Content" ObjectID="_1609666170" r:id="rId51"/>
        </w:object>
      </w:r>
    </w:p>
    <w:p w:rsidR="00C27EEC" w:rsidRDefault="00C27EEC" w:rsidP="00C27EEC">
      <w:pPr>
        <w:spacing w:after="0" w:line="240" w:lineRule="auto"/>
      </w:pPr>
    </w:p>
    <w:p w:rsidR="00C27EEC" w:rsidRPr="00C27EEC" w:rsidRDefault="00C27EEC" w:rsidP="00C27EEC">
      <w:pPr>
        <w:spacing w:after="0" w:line="240" w:lineRule="auto"/>
        <w:rPr>
          <w:b/>
        </w:rPr>
      </w:pPr>
      <w:r w:rsidRPr="00C27EEC">
        <w:rPr>
          <w:b/>
        </w:rPr>
        <w:t>Θέμα Δ</w:t>
      </w:r>
    </w:p>
    <w:p w:rsidR="00C27EEC" w:rsidRPr="00C27EEC" w:rsidRDefault="00C27EEC" w:rsidP="00C27EEC">
      <w:pPr>
        <w:spacing w:after="0" w:line="240" w:lineRule="auto"/>
        <w:rPr>
          <w:b/>
        </w:rPr>
      </w:pPr>
      <w:r w:rsidRPr="00C27EEC">
        <w:rPr>
          <w:b/>
        </w:rPr>
        <w:t>Δ.1</w:t>
      </w:r>
    </w:p>
    <w:p w:rsidR="00C27EEC" w:rsidRDefault="00C27EEC" w:rsidP="00C27EEC">
      <w:pPr>
        <w:spacing w:after="0" w:line="240" w:lineRule="auto"/>
        <w:rPr>
          <w:b/>
        </w:rPr>
      </w:pPr>
      <w:r w:rsidRPr="00C27EEC">
        <w:rPr>
          <w:b/>
        </w:rPr>
        <w:t>α.</w:t>
      </w:r>
    </w:p>
    <w:p w:rsidR="00C27EEC" w:rsidRDefault="007C33AE" w:rsidP="007C33AE">
      <w:pPr>
        <w:spacing w:after="0" w:line="240" w:lineRule="auto"/>
        <w:jc w:val="center"/>
      </w:pPr>
      <w:r>
        <w:rPr>
          <w:noProof/>
          <w:lang w:eastAsia="el-GR"/>
        </w:rPr>
        <w:drawing>
          <wp:inline distT="0" distB="0" distL="0" distR="0">
            <wp:extent cx="2683257" cy="1314450"/>
            <wp:effectExtent l="19050" t="0" r="2793" b="0"/>
            <wp:docPr id="91" name="Εικόνα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52" cstate="print"/>
                    <a:srcRect/>
                    <a:stretch>
                      <a:fillRect/>
                    </a:stretch>
                  </pic:blipFill>
                  <pic:spPr bwMode="auto">
                    <a:xfrm>
                      <a:off x="0" y="0"/>
                      <a:ext cx="2684325" cy="1314973"/>
                    </a:xfrm>
                    <a:prstGeom prst="rect">
                      <a:avLst/>
                    </a:prstGeom>
                    <a:noFill/>
                    <a:ln w="9525">
                      <a:noFill/>
                      <a:miter lim="800000"/>
                      <a:headEnd/>
                      <a:tailEnd/>
                    </a:ln>
                  </pic:spPr>
                </pic:pic>
              </a:graphicData>
            </a:graphic>
          </wp:inline>
        </w:drawing>
      </w:r>
    </w:p>
    <w:p w:rsidR="007C33AE" w:rsidRPr="00C27EEC" w:rsidRDefault="007C33AE" w:rsidP="007C33AE">
      <w:pPr>
        <w:spacing w:after="0" w:line="240" w:lineRule="auto"/>
      </w:pPr>
      <w:r>
        <w:t>Η απόδοση της αντίδρασης υπολογίζεται με βάση το Η</w:t>
      </w:r>
      <w:r w:rsidRPr="007C33AE">
        <w:rPr>
          <w:vertAlign w:val="subscript"/>
        </w:rPr>
        <w:t>2</w:t>
      </w:r>
      <w:r>
        <w:t xml:space="preserve"> που είναι σε έλλειμμα:</w:t>
      </w:r>
    </w:p>
    <w:p w:rsidR="00C27EEC" w:rsidRDefault="007C33AE" w:rsidP="00C27EEC">
      <w:pPr>
        <w:spacing w:after="0" w:line="240" w:lineRule="auto"/>
      </w:pPr>
      <w:r w:rsidRPr="007C33AE">
        <w:rPr>
          <w:position w:val="-28"/>
        </w:rPr>
        <w:object w:dxaOrig="5260" w:dyaOrig="660">
          <v:shape id="_x0000_i1047" type="#_x0000_t75" style="width:263pt;height:33pt" o:ole="">
            <v:imagedata r:id="rId53" o:title=""/>
          </v:shape>
          <o:OLEObject Type="Embed" ProgID="Equation.DSMT4" ShapeID="_x0000_i1047" DrawAspect="Content" ObjectID="_1609666171" r:id="rId54"/>
        </w:object>
      </w:r>
    </w:p>
    <w:p w:rsidR="007C33AE" w:rsidRDefault="007C33AE" w:rsidP="00C27EEC">
      <w:pPr>
        <w:spacing w:after="0" w:line="240" w:lineRule="auto"/>
      </w:pPr>
      <w:r>
        <w:t>Γράφουμε την K</w:t>
      </w:r>
      <w:r w:rsidRPr="007C33AE">
        <w:rPr>
          <w:vertAlign w:val="subscript"/>
        </w:rPr>
        <w:t>C</w:t>
      </w:r>
      <w:r>
        <w:t xml:space="preserve"> της ισορροπίας:</w:t>
      </w:r>
    </w:p>
    <w:p w:rsidR="007C33AE" w:rsidRDefault="007C33AE" w:rsidP="00C27EEC">
      <w:pPr>
        <w:spacing w:after="0" w:line="240" w:lineRule="auto"/>
      </w:pPr>
      <w:r w:rsidRPr="007C33AE">
        <w:rPr>
          <w:position w:val="-64"/>
        </w:rPr>
        <w:object w:dxaOrig="4680" w:dyaOrig="1359">
          <v:shape id="_x0000_i1048" type="#_x0000_t75" style="width:234pt;height:68pt" o:ole="">
            <v:imagedata r:id="rId55" o:title=""/>
          </v:shape>
          <o:OLEObject Type="Embed" ProgID="Equation.DSMT4" ShapeID="_x0000_i1048" DrawAspect="Content" ObjectID="_1609666172" r:id="rId56"/>
        </w:object>
      </w:r>
    </w:p>
    <w:p w:rsidR="007C33AE" w:rsidRDefault="007C33AE" w:rsidP="00C27EEC">
      <w:pPr>
        <w:spacing w:after="0" w:line="240" w:lineRule="auto"/>
      </w:pPr>
      <w:r>
        <w:t>Συνδυάζοντας τις σχέσεις (1) και (2) έχουμε:</w:t>
      </w:r>
    </w:p>
    <w:p w:rsidR="007C33AE" w:rsidRDefault="007C33AE" w:rsidP="00C27EEC">
      <w:pPr>
        <w:spacing w:after="0" w:line="240" w:lineRule="auto"/>
      </w:pPr>
      <w:r w:rsidRPr="007C33AE">
        <w:rPr>
          <w:position w:val="-64"/>
        </w:rPr>
        <w:object w:dxaOrig="5620" w:dyaOrig="1359">
          <v:shape id="_x0000_i1049" type="#_x0000_t75" style="width:281pt;height:68pt" o:ole="">
            <v:imagedata r:id="rId57" o:title=""/>
          </v:shape>
          <o:OLEObject Type="Embed" ProgID="Equation.DSMT4" ShapeID="_x0000_i1049" DrawAspect="Content" ObjectID="_1609666173" r:id="rId58"/>
        </w:object>
      </w:r>
    </w:p>
    <w:p w:rsidR="007C33AE" w:rsidRDefault="007C33AE" w:rsidP="00C27EEC">
      <w:pPr>
        <w:spacing w:after="0" w:line="240" w:lineRule="auto"/>
      </w:pPr>
      <w:r>
        <w:t>Τελικά από την (1) προκύπτει:</w:t>
      </w:r>
    </w:p>
    <w:p w:rsidR="007C33AE" w:rsidRDefault="007C33AE" w:rsidP="00C27EEC">
      <w:pPr>
        <w:spacing w:after="0" w:line="240" w:lineRule="auto"/>
      </w:pPr>
      <w:r w:rsidRPr="007C33AE">
        <w:rPr>
          <w:position w:val="-10"/>
        </w:rPr>
        <w:object w:dxaOrig="2900" w:dyaOrig="380">
          <v:shape id="_x0000_i1050" type="#_x0000_t75" style="width:145pt;height:19pt" o:ole="">
            <v:imagedata r:id="rId59" o:title=""/>
          </v:shape>
          <o:OLEObject Type="Embed" ProgID="Equation.DSMT4" ShapeID="_x0000_i1050" DrawAspect="Content" ObjectID="_1609666174" r:id="rId60"/>
        </w:object>
      </w:r>
    </w:p>
    <w:p w:rsidR="007C33AE" w:rsidRDefault="007C33AE" w:rsidP="00C27EEC">
      <w:pPr>
        <w:spacing w:after="0" w:line="240" w:lineRule="auto"/>
      </w:pPr>
    </w:p>
    <w:p w:rsidR="007C33AE" w:rsidRPr="007C33AE" w:rsidRDefault="007C33AE" w:rsidP="00C27EEC">
      <w:pPr>
        <w:spacing w:after="0" w:line="240" w:lineRule="auto"/>
        <w:rPr>
          <w:b/>
        </w:rPr>
      </w:pPr>
      <w:r w:rsidRPr="007C33AE">
        <w:rPr>
          <w:b/>
        </w:rPr>
        <w:t>Δ.2</w:t>
      </w:r>
    </w:p>
    <w:p w:rsidR="007C33AE" w:rsidRDefault="007C33AE" w:rsidP="00C27EEC">
      <w:pPr>
        <w:spacing w:after="0" w:line="240" w:lineRule="auto"/>
      </w:pPr>
      <w:r w:rsidRPr="007C33AE">
        <w:rPr>
          <w:b/>
        </w:rPr>
        <w:t>α.</w:t>
      </w:r>
      <w:r>
        <w:t xml:space="preserve"> </w:t>
      </w:r>
      <w:r w:rsidR="00D05837">
        <w:tab/>
      </w:r>
      <w:r w:rsidR="00D05837">
        <w:tab/>
      </w:r>
      <w:r w:rsidR="00D05837" w:rsidRPr="00D05837">
        <w:rPr>
          <w:b/>
          <w:position w:val="-14"/>
        </w:rPr>
        <w:object w:dxaOrig="4380" w:dyaOrig="380">
          <v:shape id="_x0000_i1051" type="#_x0000_t75" style="width:219pt;height:22pt" o:ole="">
            <v:imagedata r:id="rId61" o:title=""/>
          </v:shape>
          <o:OLEObject Type="Embed" ProgID="Equation.DSMT4" ShapeID="_x0000_i1051" DrawAspect="Content" ObjectID="_1609666175" r:id="rId62"/>
        </w:object>
      </w:r>
    </w:p>
    <w:p w:rsidR="007C33AE" w:rsidRDefault="00D05837" w:rsidP="00C27EEC">
      <w:pPr>
        <w:spacing w:after="0" w:line="240" w:lineRule="auto"/>
      </w:pPr>
      <w:r w:rsidRPr="00D05837">
        <w:rPr>
          <w:b/>
        </w:rPr>
        <w:t xml:space="preserve">β. </w:t>
      </w:r>
      <w:proofErr w:type="spellStart"/>
      <w:r w:rsidRPr="00D05837">
        <w:rPr>
          <w:b/>
          <w:lang w:val="en-US"/>
        </w:rPr>
        <w:t>i</w:t>
      </w:r>
      <w:proofErr w:type="spellEnd"/>
      <w:r w:rsidRPr="00D05837">
        <w:rPr>
          <w:b/>
        </w:rPr>
        <w:t>)</w:t>
      </w:r>
      <w:r>
        <w:t xml:space="preserve"> </w:t>
      </w:r>
      <w:proofErr w:type="spellStart"/>
      <w:r>
        <w:t>Tο</w:t>
      </w:r>
      <w:proofErr w:type="spellEnd"/>
      <w:r>
        <w:t xml:space="preserve"> </w:t>
      </w:r>
      <w:proofErr w:type="spellStart"/>
      <w:r>
        <w:t>ογκομετρούμενο</w:t>
      </w:r>
      <w:proofErr w:type="spellEnd"/>
      <w:r>
        <w:t xml:space="preserve"> διάλυμα </w:t>
      </w:r>
      <w:proofErr w:type="spellStart"/>
      <w:r>
        <w:t>HCOONa</w:t>
      </w:r>
      <w:proofErr w:type="spellEnd"/>
      <w:r>
        <w:t xml:space="preserve"> έχει όγκο 20 ml και συγκέντρωση έστω </w:t>
      </w:r>
      <w:proofErr w:type="spellStart"/>
      <w:r>
        <w:t>C</w:t>
      </w:r>
      <w:r w:rsidRPr="00D05837">
        <w:rPr>
          <w:vertAlign w:val="subscript"/>
        </w:rPr>
        <w:t>β</w:t>
      </w:r>
      <w:proofErr w:type="spellEnd"/>
      <w:r>
        <w:t>. Στο ισοδύναμο σημείο έχουμε από τη στοιχειομετρία της αντίδρασης:</w:t>
      </w:r>
    </w:p>
    <w:p w:rsidR="00D05837" w:rsidRDefault="00D05837" w:rsidP="00C27EEC">
      <w:pPr>
        <w:spacing w:after="0" w:line="240" w:lineRule="auto"/>
      </w:pPr>
      <w:r w:rsidRPr="00D05837">
        <w:rPr>
          <w:position w:val="-20"/>
        </w:rPr>
        <w:object w:dxaOrig="5380" w:dyaOrig="480">
          <v:shape id="_x0000_i1052" type="#_x0000_t75" style="width:269pt;height:24pt" o:ole="">
            <v:imagedata r:id="rId63" o:title=""/>
          </v:shape>
          <o:OLEObject Type="Embed" ProgID="Equation.DSMT4" ShapeID="_x0000_i1052" DrawAspect="Content" ObjectID="_1609666176" r:id="rId64"/>
        </w:object>
      </w:r>
    </w:p>
    <w:p w:rsidR="00D05837" w:rsidRDefault="00D05837" w:rsidP="00C27EEC">
      <w:pPr>
        <w:spacing w:after="0" w:line="240" w:lineRule="auto"/>
      </w:pPr>
      <w:r w:rsidRPr="00D05837">
        <w:rPr>
          <w:b/>
        </w:rPr>
        <w:t>ii)</w:t>
      </w:r>
      <w:r>
        <w:t xml:space="preserve"> Στο μέσον της </w:t>
      </w:r>
      <w:proofErr w:type="spellStart"/>
      <w:r>
        <w:t>ογκομέτρησης</w:t>
      </w:r>
      <w:proofErr w:type="spellEnd"/>
      <w:r>
        <w:t xml:space="preserve"> έχουμε</w:t>
      </w:r>
    </w:p>
    <w:p w:rsidR="00D05837" w:rsidRDefault="002A634F" w:rsidP="002A634F">
      <w:pPr>
        <w:spacing w:after="0" w:line="240" w:lineRule="auto"/>
        <w:jc w:val="center"/>
      </w:pPr>
      <w:r>
        <w:rPr>
          <w:noProof/>
          <w:lang w:eastAsia="el-GR"/>
        </w:rPr>
        <w:drawing>
          <wp:inline distT="0" distB="0" distL="0" distR="0">
            <wp:extent cx="3621043" cy="1156338"/>
            <wp:effectExtent l="19050" t="0" r="0" b="0"/>
            <wp:docPr id="112" name="Εικόνα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65" cstate="print"/>
                    <a:srcRect/>
                    <a:stretch>
                      <a:fillRect/>
                    </a:stretch>
                  </pic:blipFill>
                  <pic:spPr bwMode="auto">
                    <a:xfrm>
                      <a:off x="0" y="0"/>
                      <a:ext cx="3625602" cy="1157794"/>
                    </a:xfrm>
                    <a:prstGeom prst="rect">
                      <a:avLst/>
                    </a:prstGeom>
                    <a:noFill/>
                    <a:ln w="9525">
                      <a:noFill/>
                      <a:miter lim="800000"/>
                      <a:headEnd/>
                      <a:tailEnd/>
                    </a:ln>
                  </pic:spPr>
                </pic:pic>
              </a:graphicData>
            </a:graphic>
          </wp:inline>
        </w:drawing>
      </w:r>
    </w:p>
    <w:p w:rsidR="002A634F" w:rsidRDefault="00664913" w:rsidP="002A634F">
      <w:pPr>
        <w:spacing w:after="0" w:line="240" w:lineRule="auto"/>
      </w:pPr>
      <w:r>
        <w:t xml:space="preserve">O όγκος του πρότυπου διαλύματος που έχει προστεθεί ως το μέσον της </w:t>
      </w:r>
      <w:proofErr w:type="spellStart"/>
      <w:r>
        <w:t>ογκομέτρησης</w:t>
      </w:r>
      <w:proofErr w:type="spellEnd"/>
      <w:r>
        <w:t xml:space="preserve"> είναι:</w:t>
      </w:r>
    </w:p>
    <w:p w:rsidR="00664913" w:rsidRDefault="00664913" w:rsidP="002A634F">
      <w:pPr>
        <w:spacing w:after="0" w:line="240" w:lineRule="auto"/>
      </w:pPr>
      <w:r w:rsidRPr="00664913">
        <w:rPr>
          <w:position w:val="-14"/>
        </w:rPr>
        <w:object w:dxaOrig="4560" w:dyaOrig="380">
          <v:shape id="_x0000_i1053" type="#_x0000_t75" style="width:228pt;height:19pt" o:ole="">
            <v:imagedata r:id="rId66" o:title=""/>
          </v:shape>
          <o:OLEObject Type="Embed" ProgID="Equation.DSMT4" ShapeID="_x0000_i1053" DrawAspect="Content" ObjectID="_1609666177" r:id="rId67"/>
        </w:object>
      </w:r>
    </w:p>
    <w:p w:rsidR="00664913" w:rsidRDefault="00664913" w:rsidP="002A634F">
      <w:pPr>
        <w:spacing w:after="0" w:line="240" w:lineRule="auto"/>
      </w:pPr>
      <w:r>
        <w:t xml:space="preserve">Το τελικό διάλυμα θα είναι ρυθμιστικό με </w:t>
      </w:r>
      <w:r w:rsidRPr="00664913">
        <w:rPr>
          <w:position w:val="-26"/>
        </w:rPr>
        <w:object w:dxaOrig="2140" w:dyaOrig="639">
          <v:shape id="_x0000_i1054" type="#_x0000_t75" style="width:107pt;height:32pt" o:ole="">
            <v:imagedata r:id="rId68" o:title=""/>
          </v:shape>
          <o:OLEObject Type="Embed" ProgID="Equation.DSMT4" ShapeID="_x0000_i1054" DrawAspect="Content" ObjectID="_1609666178" r:id="rId69"/>
        </w:object>
      </w:r>
      <w:r>
        <w:t xml:space="preserve">, </w:t>
      </w:r>
      <w:r w:rsidRPr="00664913">
        <w:rPr>
          <w:position w:val="-26"/>
        </w:rPr>
        <w:object w:dxaOrig="2220" w:dyaOrig="639">
          <v:shape id="_x0000_i1055" type="#_x0000_t75" style="width:111pt;height:32pt" o:ole="">
            <v:imagedata r:id="rId70" o:title=""/>
          </v:shape>
          <o:OLEObject Type="Embed" ProgID="Equation.DSMT4" ShapeID="_x0000_i1055" DrawAspect="Content" ObjectID="_1609666179" r:id="rId71"/>
        </w:object>
      </w:r>
      <w:r>
        <w:t xml:space="preserve">και </w:t>
      </w:r>
      <w:r w:rsidRPr="00664913">
        <w:rPr>
          <w:position w:val="-6"/>
        </w:rPr>
        <w:object w:dxaOrig="520" w:dyaOrig="260">
          <v:shape id="_x0000_i1056" type="#_x0000_t75" style="width:26pt;height:13pt" o:ole="">
            <v:imagedata r:id="rId72" o:title=""/>
          </v:shape>
          <o:OLEObject Type="Embed" ProgID="Equation.DSMT4" ShapeID="_x0000_i1056" DrawAspect="Content" ObjectID="_1609666180" r:id="rId73"/>
        </w:object>
      </w:r>
      <w:r>
        <w:t xml:space="preserve">με την ίδια συγκέντρωση που δεν επηρεάζει το </w:t>
      </w:r>
      <w:proofErr w:type="spellStart"/>
      <w:r>
        <w:t>pH</w:t>
      </w:r>
      <w:proofErr w:type="spellEnd"/>
      <w:r>
        <w:t xml:space="preserve"> του διαλύματος αφού κανένα από το ιόντα στα οποία αυτό διίσταται δεν αντιδρά με το νερό. </w:t>
      </w:r>
    </w:p>
    <w:p w:rsidR="00664913" w:rsidRDefault="00664913" w:rsidP="002A634F">
      <w:pPr>
        <w:spacing w:after="0" w:line="240" w:lineRule="auto"/>
      </w:pPr>
      <w:r>
        <w:t xml:space="preserve">Εφόσον ισχύουν οι προσεγγίσεις θα ισχύει και η εξίσωση </w:t>
      </w:r>
      <w:proofErr w:type="spellStart"/>
      <w:r>
        <w:t>Henderson</w:t>
      </w:r>
      <w:proofErr w:type="spellEnd"/>
      <w:r>
        <w:t xml:space="preserve"> - </w:t>
      </w:r>
      <w:proofErr w:type="spellStart"/>
      <w:r>
        <w:t>Hasselbach</w:t>
      </w:r>
      <w:proofErr w:type="spellEnd"/>
      <w:r>
        <w:t>:</w:t>
      </w:r>
    </w:p>
    <w:p w:rsidR="00664913" w:rsidRDefault="000F5779" w:rsidP="002A634F">
      <w:pPr>
        <w:spacing w:after="0" w:line="240" w:lineRule="auto"/>
      </w:pPr>
      <w:r w:rsidRPr="000F5779">
        <w:rPr>
          <w:position w:val="-30"/>
        </w:rPr>
        <w:object w:dxaOrig="7320" w:dyaOrig="720">
          <v:shape id="_x0000_i1057" type="#_x0000_t75" style="width:366pt;height:36pt" o:ole="">
            <v:imagedata r:id="rId74" o:title=""/>
          </v:shape>
          <o:OLEObject Type="Embed" ProgID="Equation.DSMT4" ShapeID="_x0000_i1057" DrawAspect="Content" ObjectID="_1609666181" r:id="rId75"/>
        </w:object>
      </w:r>
    </w:p>
    <w:p w:rsidR="000F5779" w:rsidRDefault="000F5779" w:rsidP="002A634F">
      <w:pPr>
        <w:spacing w:after="0" w:line="240" w:lineRule="auto"/>
      </w:pPr>
      <w:r w:rsidRPr="000F5779">
        <w:rPr>
          <w:b/>
          <w:lang w:val="en-US"/>
        </w:rPr>
        <w:t>iii</w:t>
      </w:r>
      <w:r w:rsidRPr="000F5779">
        <w:rPr>
          <w:b/>
        </w:rPr>
        <w:t xml:space="preserve">) </w:t>
      </w:r>
      <w:r>
        <w:t>Στο ισοδύναμο σημείο έχουμε:</w:t>
      </w:r>
    </w:p>
    <w:p w:rsidR="000F5779" w:rsidRDefault="000F5779" w:rsidP="000F5779">
      <w:pPr>
        <w:spacing w:after="0" w:line="240" w:lineRule="auto"/>
        <w:jc w:val="center"/>
        <w:rPr>
          <w:b/>
        </w:rPr>
      </w:pPr>
      <w:r>
        <w:rPr>
          <w:b/>
          <w:noProof/>
          <w:lang w:eastAsia="el-GR"/>
        </w:rPr>
        <w:drawing>
          <wp:inline distT="0" distB="0" distL="0" distR="0">
            <wp:extent cx="3409950" cy="1214626"/>
            <wp:effectExtent l="19050" t="0" r="0" b="0"/>
            <wp:docPr id="130" name="Εικόνα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76" cstate="print"/>
                    <a:srcRect/>
                    <a:stretch>
                      <a:fillRect/>
                    </a:stretch>
                  </pic:blipFill>
                  <pic:spPr bwMode="auto">
                    <a:xfrm>
                      <a:off x="0" y="0"/>
                      <a:ext cx="3409950" cy="1214626"/>
                    </a:xfrm>
                    <a:prstGeom prst="rect">
                      <a:avLst/>
                    </a:prstGeom>
                    <a:noFill/>
                    <a:ln w="9525">
                      <a:noFill/>
                      <a:miter lim="800000"/>
                      <a:headEnd/>
                      <a:tailEnd/>
                    </a:ln>
                  </pic:spPr>
                </pic:pic>
              </a:graphicData>
            </a:graphic>
          </wp:inline>
        </w:drawing>
      </w:r>
    </w:p>
    <w:p w:rsidR="000F5779" w:rsidRDefault="000F5779" w:rsidP="000F5779">
      <w:pPr>
        <w:spacing w:after="0" w:line="240" w:lineRule="auto"/>
      </w:pPr>
      <w:r>
        <w:t xml:space="preserve">O όγκος του πρότυπου διαλύματος που έχει προστεθεί ως το ισοδύναμο σημείο είναι: </w:t>
      </w:r>
    </w:p>
    <w:p w:rsidR="000F5779" w:rsidRDefault="000F5779" w:rsidP="000F5779">
      <w:pPr>
        <w:spacing w:after="0" w:line="240" w:lineRule="auto"/>
      </w:pPr>
      <w:r>
        <w:t>V</w:t>
      </w:r>
      <w:r>
        <w:rPr>
          <w:vertAlign w:val="subscript"/>
        </w:rPr>
        <w:t xml:space="preserve">Π </w:t>
      </w:r>
      <w:r>
        <w:t>= 20ml .</w:t>
      </w:r>
    </w:p>
    <w:p w:rsidR="000F5779" w:rsidRDefault="000F5779" w:rsidP="000F5779">
      <w:pPr>
        <w:spacing w:after="0" w:line="240" w:lineRule="auto"/>
      </w:pPr>
      <w:r>
        <w:t xml:space="preserve">Έτσι ο ολικός όγκος του </w:t>
      </w:r>
      <w:proofErr w:type="spellStart"/>
      <w:r>
        <w:t>ογκομετρούμενου</w:t>
      </w:r>
      <w:proofErr w:type="spellEnd"/>
      <w:r>
        <w:t xml:space="preserve"> διαλύματος στο ισοδύναμο σημείο θα είναι:</w:t>
      </w:r>
    </w:p>
    <w:p w:rsidR="000F5779" w:rsidRDefault="000F5779" w:rsidP="000F5779">
      <w:pPr>
        <w:spacing w:after="0" w:line="240" w:lineRule="auto"/>
      </w:pPr>
      <w:r w:rsidRPr="00664913">
        <w:rPr>
          <w:position w:val="-14"/>
        </w:rPr>
        <w:object w:dxaOrig="4560" w:dyaOrig="380">
          <v:shape id="_x0000_i1058" type="#_x0000_t75" style="width:228pt;height:19pt" o:ole="">
            <v:imagedata r:id="rId77" o:title=""/>
          </v:shape>
          <o:OLEObject Type="Embed" ProgID="Equation.DSMT4" ShapeID="_x0000_i1058" DrawAspect="Content" ObjectID="_1609666182" r:id="rId78"/>
        </w:object>
      </w:r>
    </w:p>
    <w:p w:rsidR="000F5779" w:rsidRDefault="000F5779" w:rsidP="000F5779">
      <w:pPr>
        <w:spacing w:after="0" w:line="240" w:lineRule="auto"/>
      </w:pPr>
      <w:r>
        <w:t xml:space="preserve">Το τελικό διάλυμα θα περιέχει HCOOH με </w:t>
      </w:r>
      <w:r w:rsidRPr="00664913">
        <w:rPr>
          <w:position w:val="-26"/>
        </w:rPr>
        <w:object w:dxaOrig="2220" w:dyaOrig="639">
          <v:shape id="_x0000_i1059" type="#_x0000_t75" style="width:111pt;height:32pt" o:ole="">
            <v:imagedata r:id="rId79" o:title=""/>
          </v:shape>
          <o:OLEObject Type="Embed" ProgID="Equation.DSMT4" ShapeID="_x0000_i1059" DrawAspect="Content" ObjectID="_1609666183" r:id="rId80"/>
        </w:object>
      </w:r>
      <w:r>
        <w:t>και Ν</w:t>
      </w:r>
      <w:proofErr w:type="spellStart"/>
      <w:r>
        <w:rPr>
          <w:lang w:val="en-US"/>
        </w:rPr>
        <w:t>aCI</w:t>
      </w:r>
      <w:proofErr w:type="spellEnd"/>
      <w:r>
        <w:t xml:space="preserve"> με την ίδια συγκέντρωση που δεν επηρεάζει το </w:t>
      </w:r>
      <w:proofErr w:type="spellStart"/>
      <w:r>
        <w:t>pH</w:t>
      </w:r>
      <w:proofErr w:type="spellEnd"/>
      <w:r>
        <w:t xml:space="preserve"> του διαλύματος αφού κανένα από το ιόντα στα οποία αυτό διίσταται δεν αντιδρά με το νερό.</w:t>
      </w:r>
    </w:p>
    <w:p w:rsidR="000F5779" w:rsidRDefault="000F5779" w:rsidP="000F5779">
      <w:pPr>
        <w:spacing w:after="0" w:line="240" w:lineRule="auto"/>
        <w:jc w:val="center"/>
        <w:rPr>
          <w:b/>
        </w:rPr>
      </w:pPr>
      <w:r>
        <w:rPr>
          <w:b/>
          <w:noProof/>
          <w:lang w:eastAsia="el-GR"/>
        </w:rPr>
        <w:lastRenderedPageBreak/>
        <w:drawing>
          <wp:inline distT="0" distB="0" distL="0" distR="0">
            <wp:extent cx="2654300" cy="669823"/>
            <wp:effectExtent l="19050" t="0" r="0" b="0"/>
            <wp:docPr id="139" name="Εικόνα 139" descr="C:\Users\maria\Desktop\Χωρίς τίτλο.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C:\Users\maria\Desktop\Χωρίς τίτλο.png"/>
                    <pic:cNvPicPr>
                      <a:picLocks noChangeAspect="1" noChangeArrowheads="1"/>
                    </pic:cNvPicPr>
                  </pic:nvPicPr>
                  <pic:blipFill>
                    <a:blip r:embed="rId81" cstate="print"/>
                    <a:srcRect/>
                    <a:stretch>
                      <a:fillRect/>
                    </a:stretch>
                  </pic:blipFill>
                  <pic:spPr bwMode="auto">
                    <a:xfrm>
                      <a:off x="0" y="0"/>
                      <a:ext cx="2654300" cy="669823"/>
                    </a:xfrm>
                    <a:prstGeom prst="rect">
                      <a:avLst/>
                    </a:prstGeom>
                    <a:noFill/>
                    <a:ln w="9525">
                      <a:noFill/>
                      <a:miter lim="800000"/>
                      <a:headEnd/>
                      <a:tailEnd/>
                    </a:ln>
                  </pic:spPr>
                </pic:pic>
              </a:graphicData>
            </a:graphic>
          </wp:inline>
        </w:drawing>
      </w:r>
    </w:p>
    <w:p w:rsidR="000F5779" w:rsidRDefault="000F5779" w:rsidP="000F5779">
      <w:pPr>
        <w:spacing w:after="0" w:line="240" w:lineRule="auto"/>
        <w:rPr>
          <w:b/>
        </w:rPr>
      </w:pPr>
      <w:r w:rsidRPr="000F5779">
        <w:rPr>
          <w:b/>
          <w:position w:val="-30"/>
        </w:rPr>
        <w:object w:dxaOrig="7540" w:dyaOrig="720">
          <v:shape id="_x0000_i1060" type="#_x0000_t75" style="width:377pt;height:36pt" o:ole="">
            <v:imagedata r:id="rId82" o:title=""/>
          </v:shape>
          <o:OLEObject Type="Embed" ProgID="Equation.DSMT4" ShapeID="_x0000_i1060" DrawAspect="Content" ObjectID="_1609666184" r:id="rId83"/>
        </w:object>
      </w:r>
    </w:p>
    <w:p w:rsidR="000F5779" w:rsidRDefault="000F5779" w:rsidP="000F5779">
      <w:pPr>
        <w:spacing w:after="0" w:line="240" w:lineRule="auto"/>
      </w:pPr>
      <w:r>
        <w:t xml:space="preserve">Έτσι έχουμε: </w:t>
      </w:r>
      <w:r w:rsidRPr="000F5779">
        <w:rPr>
          <w:position w:val="-14"/>
        </w:rPr>
        <w:object w:dxaOrig="999" w:dyaOrig="420">
          <v:shape id="_x0000_i1061" type="#_x0000_t75" style="width:50pt;height:21pt" o:ole="">
            <v:imagedata r:id="rId84" o:title=""/>
          </v:shape>
          <o:OLEObject Type="Embed" ProgID="Equation.DSMT4" ShapeID="_x0000_i1061" DrawAspect="Content" ObjectID="_1609666185" r:id="rId85"/>
        </w:object>
      </w:r>
    </w:p>
    <w:p w:rsidR="00DA584C" w:rsidRDefault="000F5779" w:rsidP="000F5779">
      <w:pPr>
        <w:spacing w:after="0" w:line="240" w:lineRule="auto"/>
      </w:pPr>
      <w:r w:rsidRPr="000F5779">
        <w:rPr>
          <w:b/>
          <w:lang w:val="en-US"/>
        </w:rPr>
        <w:t>iv</w:t>
      </w:r>
      <w:r w:rsidRPr="000F5779">
        <w:rPr>
          <w:b/>
        </w:rPr>
        <w:t xml:space="preserve">) </w:t>
      </w:r>
      <w:r w:rsidR="00DA584C">
        <w:t xml:space="preserve">O καταλληλότερος δείκτης είναι το </w:t>
      </w:r>
      <w:proofErr w:type="spellStart"/>
      <w:r w:rsidR="00DA584C">
        <w:t>κυανούν</w:t>
      </w:r>
      <w:proofErr w:type="spellEnd"/>
      <w:r w:rsidR="00DA584C">
        <w:t xml:space="preserve"> της </w:t>
      </w:r>
      <w:proofErr w:type="spellStart"/>
      <w:r w:rsidR="00DA584C">
        <w:t>θυμόλης</w:t>
      </w:r>
      <w:proofErr w:type="spellEnd"/>
      <w:r w:rsidR="00DA584C">
        <w:t xml:space="preserve"> διότι η περιοχή αλλαγής χρώματος του (1</w:t>
      </w:r>
      <w:proofErr w:type="gramStart"/>
      <w:r w:rsidR="00DA584C">
        <w:t>,7</w:t>
      </w:r>
      <w:proofErr w:type="gramEnd"/>
      <w:r w:rsidR="00DA584C">
        <w:t xml:space="preserve">-3,2) περιέχει την τιμή του </w:t>
      </w:r>
      <w:proofErr w:type="spellStart"/>
      <w:r w:rsidR="00DA584C">
        <w:t>pH</w:t>
      </w:r>
      <w:proofErr w:type="spellEnd"/>
      <w:r w:rsidR="00DA584C">
        <w:t xml:space="preserve"> ισοδύναμο σημείο. </w:t>
      </w:r>
    </w:p>
    <w:p w:rsidR="000F5779" w:rsidRDefault="00DA584C" w:rsidP="000F5779">
      <w:pPr>
        <w:spacing w:after="0" w:line="240" w:lineRule="auto"/>
      </w:pPr>
      <w:r w:rsidRPr="00DA584C">
        <w:rPr>
          <w:b/>
        </w:rPr>
        <w:t>v)</w:t>
      </w:r>
      <w:r>
        <w:t xml:space="preserve"> Στο διάλυμα Δ</w:t>
      </w:r>
      <w:r w:rsidRPr="00DA584C">
        <w:rPr>
          <w:vertAlign w:val="subscript"/>
        </w:rPr>
        <w:t>1</w:t>
      </w:r>
      <w:r>
        <w:t xml:space="preserve"> περιέχονται </w:t>
      </w:r>
      <w:r w:rsidRPr="00DA584C">
        <w:rPr>
          <w:position w:val="-12"/>
        </w:rPr>
        <w:object w:dxaOrig="3460" w:dyaOrig="340">
          <v:shape id="_x0000_i1062" type="#_x0000_t75" style="width:173pt;height:17pt" o:ole="">
            <v:imagedata r:id="rId86" o:title=""/>
          </v:shape>
          <o:OLEObject Type="Embed" ProgID="Equation.DSMT4" ShapeID="_x0000_i1062" DrawAspect="Content" ObjectID="_1609666186" r:id="rId87"/>
        </w:object>
      </w:r>
      <w:r>
        <w:t xml:space="preserve">. Αφού το HCN που χρησιμοποιήθηκε ήταν </w:t>
      </w:r>
      <w:proofErr w:type="spellStart"/>
      <w:r>
        <w:t>ισομοριακό</w:t>
      </w:r>
      <w:proofErr w:type="spellEnd"/>
      <w:r>
        <w:t xml:space="preserve"> με την παραπάνω ποσότητα του </w:t>
      </w:r>
      <w:proofErr w:type="spellStart"/>
      <w:r>
        <w:t>HCOONa</w:t>
      </w:r>
      <w:proofErr w:type="spellEnd"/>
      <w:r>
        <w:t xml:space="preserve"> θα ήταν κι αυτό 0,4mol. Συνεπώς:</w:t>
      </w:r>
    </w:p>
    <w:p w:rsidR="00DA584C" w:rsidRDefault="00DA584C" w:rsidP="000F5779">
      <w:pPr>
        <w:spacing w:after="0" w:line="240" w:lineRule="auto"/>
      </w:pPr>
      <w:r w:rsidRPr="00DA584C">
        <w:rPr>
          <w:position w:val="-16"/>
        </w:rPr>
        <w:object w:dxaOrig="4680" w:dyaOrig="440">
          <v:shape id="_x0000_i1063" type="#_x0000_t75" style="width:234pt;height:22pt" o:ole="">
            <v:imagedata r:id="rId88" o:title=""/>
          </v:shape>
          <o:OLEObject Type="Embed" ProgID="Equation.DSMT4" ShapeID="_x0000_i1063" DrawAspect="Content" ObjectID="_1609666187" r:id="rId89"/>
        </w:object>
      </w:r>
    </w:p>
    <w:p w:rsidR="00DA584C" w:rsidRDefault="00DA584C" w:rsidP="000F5779">
      <w:pPr>
        <w:spacing w:after="0" w:line="240" w:lineRule="auto"/>
      </w:pPr>
    </w:p>
    <w:p w:rsidR="00DA584C" w:rsidRPr="00DA584C" w:rsidRDefault="00DA584C" w:rsidP="000F5779">
      <w:pPr>
        <w:spacing w:after="0" w:line="240" w:lineRule="auto"/>
        <w:rPr>
          <w:b/>
        </w:rPr>
      </w:pPr>
      <w:r w:rsidRPr="00DA584C">
        <w:rPr>
          <w:b/>
        </w:rPr>
        <w:t>Δ.3</w:t>
      </w:r>
    </w:p>
    <w:p w:rsidR="00DA584C" w:rsidRDefault="00DA584C" w:rsidP="000F5779">
      <w:pPr>
        <w:spacing w:after="0" w:line="240" w:lineRule="auto"/>
      </w:pPr>
      <w:r w:rsidRPr="00DA584C">
        <w:rPr>
          <w:b/>
        </w:rPr>
        <w:t xml:space="preserve">α. </w:t>
      </w:r>
      <w:r w:rsidR="00F129B9">
        <w:t xml:space="preserve">Με προσθήκη ποσότητας </w:t>
      </w:r>
      <w:proofErr w:type="spellStart"/>
      <w:r w:rsidR="00F129B9">
        <w:t>HCl</w:t>
      </w:r>
      <w:proofErr w:type="spellEnd"/>
      <w:r w:rsidR="00F129B9">
        <w:t xml:space="preserve"> αυτό ιοντίζεται πλήρως:</w:t>
      </w:r>
    </w:p>
    <w:p w:rsidR="00F129B9" w:rsidRDefault="00F129B9" w:rsidP="00F129B9">
      <w:pPr>
        <w:spacing w:after="0" w:line="240" w:lineRule="auto"/>
        <w:jc w:val="center"/>
      </w:pPr>
      <w:r w:rsidRPr="00F129B9">
        <w:rPr>
          <w:position w:val="-12"/>
        </w:rPr>
        <w:object w:dxaOrig="2320" w:dyaOrig="380">
          <v:shape id="_x0000_i1064" type="#_x0000_t75" style="width:116pt;height:19pt" o:ole="">
            <v:imagedata r:id="rId90" o:title=""/>
          </v:shape>
          <o:OLEObject Type="Embed" ProgID="Equation.DSMT4" ShapeID="_x0000_i1064" DrawAspect="Content" ObjectID="_1609666188" r:id="rId91"/>
        </w:object>
      </w:r>
    </w:p>
    <w:p w:rsidR="00F129B9" w:rsidRDefault="00F129B9" w:rsidP="00F129B9">
      <w:pPr>
        <w:spacing w:after="0" w:line="240" w:lineRule="auto"/>
      </w:pPr>
      <w:r>
        <w:t>Έτσι, πραγματοποιούνται οι παρακάτω αντιδράσεις:</w:t>
      </w:r>
    </w:p>
    <w:p w:rsidR="00F129B9" w:rsidRDefault="00F129B9" w:rsidP="00F129B9">
      <w:pPr>
        <w:spacing w:after="0" w:line="240" w:lineRule="auto"/>
      </w:pPr>
      <w:r w:rsidRPr="00F129B9">
        <w:rPr>
          <w:position w:val="-12"/>
        </w:rPr>
        <w:object w:dxaOrig="2040" w:dyaOrig="380">
          <v:shape id="_x0000_i1065" type="#_x0000_t75" style="width:102pt;height:19pt" o:ole="">
            <v:imagedata r:id="rId92" o:title=""/>
          </v:shape>
          <o:OLEObject Type="Embed" ProgID="Equation.DSMT4" ShapeID="_x0000_i1065" DrawAspect="Content" ObjectID="_1609666189" r:id="rId93"/>
        </w:object>
      </w:r>
    </w:p>
    <w:p w:rsidR="00F129B9" w:rsidRDefault="00B628F8" w:rsidP="00F129B9">
      <w:pPr>
        <w:spacing w:after="0" w:line="240" w:lineRule="auto"/>
      </w:pPr>
      <w:r w:rsidRPr="00F129B9">
        <w:rPr>
          <w:position w:val="-12"/>
        </w:rPr>
        <w:object w:dxaOrig="3159" w:dyaOrig="380">
          <v:shape id="_x0000_i1066" type="#_x0000_t75" style="width:158pt;height:19pt" o:ole="">
            <v:imagedata r:id="rId94" o:title=""/>
          </v:shape>
          <o:OLEObject Type="Embed" ProgID="Equation.DSMT4" ShapeID="_x0000_i1066" DrawAspect="Content" ObjectID="_1609666190" r:id="rId95"/>
        </w:object>
      </w:r>
    </w:p>
    <w:p w:rsidR="00B628F8" w:rsidRPr="00B628F8" w:rsidRDefault="00B628F8" w:rsidP="00B628F8">
      <w:pPr>
        <w:spacing w:after="0" w:line="240" w:lineRule="auto"/>
        <w:jc w:val="both"/>
        <w:rPr>
          <w:b/>
        </w:rPr>
      </w:pPr>
      <w:r>
        <w:t xml:space="preserve">Αποτέλεσμα των παραπάνω είναι η ελάττωση των </w:t>
      </w:r>
      <w:proofErr w:type="spellStart"/>
      <w:r>
        <w:t>mol</w:t>
      </w:r>
      <w:proofErr w:type="spellEnd"/>
      <w:r>
        <w:t xml:space="preserve"> του HCOO</w:t>
      </w:r>
      <w:r>
        <w:rPr>
          <w:vertAlign w:val="superscript"/>
        </w:rPr>
        <w:t>-</w:t>
      </w:r>
      <w:r>
        <w:t xml:space="preserve"> και εφόσον ο όγκος του διαλύματος δεν μεταβάλλεται θα έχουμε και </w:t>
      </w:r>
      <w:r w:rsidRPr="00B628F8">
        <w:rPr>
          <w:b/>
        </w:rPr>
        <w:t>μείωση της συγκέντρωσης των HCOO</w:t>
      </w:r>
      <w:r w:rsidRPr="00B628F8">
        <w:rPr>
          <w:b/>
          <w:vertAlign w:val="superscript"/>
        </w:rPr>
        <w:t>-</w:t>
      </w:r>
      <w:r w:rsidRPr="00B628F8">
        <w:rPr>
          <w:b/>
        </w:rPr>
        <w:t>.</w:t>
      </w:r>
    </w:p>
    <w:p w:rsidR="00B628F8" w:rsidRDefault="00B628F8" w:rsidP="00B628F8">
      <w:pPr>
        <w:spacing w:after="0" w:line="240" w:lineRule="auto"/>
        <w:jc w:val="both"/>
      </w:pPr>
      <w:r w:rsidRPr="00B628F8">
        <w:rPr>
          <w:b/>
        </w:rPr>
        <w:t>β.</w:t>
      </w:r>
      <w:r>
        <w:t xml:space="preserve"> Με προσθήκη ποσότητας </w:t>
      </w:r>
      <w:proofErr w:type="spellStart"/>
      <w:r>
        <w:t>NaOH</w:t>
      </w:r>
      <w:proofErr w:type="spellEnd"/>
      <w:r>
        <w:t xml:space="preserve"> θα έχουμε επίδραση κοινού ιόντος διότι το </w:t>
      </w:r>
      <w:proofErr w:type="spellStart"/>
      <w:r>
        <w:t>NaOH</w:t>
      </w:r>
      <w:proofErr w:type="spellEnd"/>
      <w:r>
        <w:t xml:space="preserve"> διίσταται: </w:t>
      </w:r>
    </w:p>
    <w:p w:rsidR="00B628F8" w:rsidRPr="00B628F8" w:rsidRDefault="00B628F8" w:rsidP="00B628F8">
      <w:pPr>
        <w:spacing w:after="0" w:line="240" w:lineRule="auto"/>
        <w:jc w:val="both"/>
      </w:pPr>
      <w:proofErr w:type="spellStart"/>
      <w:r>
        <w:t>NaOH</w:t>
      </w:r>
      <w:proofErr w:type="spellEnd"/>
      <w:r>
        <w:t xml:space="preserve"> </w:t>
      </w:r>
      <w:proofErr w:type="spellStart"/>
      <w:r>
        <w:t>→Na</w:t>
      </w:r>
      <w:proofErr w:type="spellEnd"/>
      <w:r w:rsidRPr="00B628F8">
        <w:rPr>
          <w:vertAlign w:val="superscript"/>
        </w:rPr>
        <w:t>+</w:t>
      </w:r>
      <w:r>
        <w:t xml:space="preserve"> +OH</w:t>
      </w:r>
      <w:r>
        <w:rPr>
          <w:vertAlign w:val="superscript"/>
        </w:rPr>
        <w:t>-</w:t>
      </w:r>
      <w:r>
        <w:t xml:space="preserve"> με αποτέλεσμα την αύξηση της [ΟΗ</w:t>
      </w:r>
      <w:r w:rsidRPr="00B628F8">
        <w:rPr>
          <w:vertAlign w:val="superscript"/>
        </w:rPr>
        <w:t>-</w:t>
      </w:r>
      <w:r>
        <w:t xml:space="preserve">] και τη μετατόπιση της χημικής ισορροπίας προς τα αριστερά σύμφωνα με την αρχή </w:t>
      </w:r>
      <w:proofErr w:type="spellStart"/>
      <w:r>
        <w:t>Le</w:t>
      </w:r>
      <w:proofErr w:type="spellEnd"/>
      <w:r>
        <w:t xml:space="preserve"> </w:t>
      </w:r>
      <w:proofErr w:type="spellStart"/>
      <w:r>
        <w:t>Chatelier</w:t>
      </w:r>
      <w:proofErr w:type="spellEnd"/>
      <w:r>
        <w:t xml:space="preserve">. Έτσι θα αυξηθούν τα </w:t>
      </w:r>
      <w:proofErr w:type="spellStart"/>
      <w:r>
        <w:t>mol</w:t>
      </w:r>
      <w:proofErr w:type="spellEnd"/>
      <w:r>
        <w:t xml:space="preserve"> </w:t>
      </w:r>
      <w:proofErr w:type="spellStart"/>
      <w:r>
        <w:t>HCOOκαι</w:t>
      </w:r>
      <w:proofErr w:type="spellEnd"/>
      <w:r>
        <w:t xml:space="preserve"> εφόσον ο όγκος του διαλύματος δεν μεταβάλλεται θα έχουμε και αύξηση της συγκέντρωσης των HCOO</w:t>
      </w:r>
      <w:r>
        <w:rPr>
          <w:vertAlign w:val="superscript"/>
        </w:rPr>
        <w:t>-</w:t>
      </w:r>
      <w:r>
        <w:t>.</w:t>
      </w:r>
    </w:p>
    <w:p w:rsidR="00B628F8" w:rsidRPr="000F5779" w:rsidRDefault="00B628F8" w:rsidP="00B628F8">
      <w:pPr>
        <w:spacing w:after="0" w:line="240" w:lineRule="auto"/>
        <w:jc w:val="both"/>
      </w:pPr>
      <w:r w:rsidRPr="00B628F8">
        <w:rPr>
          <w:b/>
        </w:rPr>
        <w:t>γ.</w:t>
      </w:r>
      <w:r>
        <w:t xml:space="preserve"> Με αύξηση του όγκου του δοχείου η χημική ισορροπία δεν επηρεάζεται αφού δεν μεταβάλλονται οι συγκεντρώσεις των ουσιών που συμμετέχουν στην ισορροπία. (Δεν μεταβάλλεται ο όγκος του διαλύματος).</w:t>
      </w:r>
    </w:p>
    <w:sectPr w:rsidR="00B628F8" w:rsidRPr="000F5779" w:rsidSect="0049733C">
      <w:headerReference w:type="default" r:id="rId96"/>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72E2" w:rsidRDefault="007072E2" w:rsidP="00251A63">
      <w:pPr>
        <w:spacing w:after="0" w:line="240" w:lineRule="auto"/>
      </w:pPr>
      <w:r>
        <w:separator/>
      </w:r>
    </w:p>
  </w:endnote>
  <w:endnote w:type="continuationSeparator" w:id="0">
    <w:p w:rsidR="007072E2" w:rsidRDefault="007072E2" w:rsidP="00251A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72E2" w:rsidRDefault="007072E2" w:rsidP="00251A63">
      <w:pPr>
        <w:spacing w:after="0" w:line="240" w:lineRule="auto"/>
      </w:pPr>
      <w:r>
        <w:separator/>
      </w:r>
    </w:p>
  </w:footnote>
  <w:footnote w:type="continuationSeparator" w:id="0">
    <w:p w:rsidR="007072E2" w:rsidRDefault="007072E2" w:rsidP="00251A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A63" w:rsidRDefault="00251A63" w:rsidP="00251A63">
    <w:pPr>
      <w:pStyle w:val="a4"/>
    </w:pPr>
    <w:r>
      <w:t>ΦΡΟΝΤΙΣΤΗΡΙΟ ΠΡΟΠΥΛΑΙΑ-ΡΕΘΥΜΝΟ</w:t>
    </w:r>
  </w:p>
  <w:p w:rsidR="00251A63" w:rsidRDefault="00251A63" w:rsidP="00251A63">
    <w:pPr>
      <w:pStyle w:val="a4"/>
    </w:pPr>
    <w:r>
      <w: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9733C"/>
    <w:rsid w:val="00000031"/>
    <w:rsid w:val="00005D20"/>
    <w:rsid w:val="000152FA"/>
    <w:rsid w:val="0002612D"/>
    <w:rsid w:val="00073C5F"/>
    <w:rsid w:val="00075A45"/>
    <w:rsid w:val="0007683E"/>
    <w:rsid w:val="00080701"/>
    <w:rsid w:val="00081089"/>
    <w:rsid w:val="000861EB"/>
    <w:rsid w:val="00097DFD"/>
    <w:rsid w:val="000A052A"/>
    <w:rsid w:val="000C0F10"/>
    <w:rsid w:val="000C4A83"/>
    <w:rsid w:val="000C5C44"/>
    <w:rsid w:val="000E6883"/>
    <w:rsid w:val="000F4C84"/>
    <w:rsid w:val="000F5779"/>
    <w:rsid w:val="00113FF7"/>
    <w:rsid w:val="001265F8"/>
    <w:rsid w:val="00140549"/>
    <w:rsid w:val="00155BF4"/>
    <w:rsid w:val="00166D3D"/>
    <w:rsid w:val="00174E42"/>
    <w:rsid w:val="00175C60"/>
    <w:rsid w:val="00186D1F"/>
    <w:rsid w:val="00191477"/>
    <w:rsid w:val="001959E0"/>
    <w:rsid w:val="001A3172"/>
    <w:rsid w:val="001A5296"/>
    <w:rsid w:val="001C07F3"/>
    <w:rsid w:val="00201140"/>
    <w:rsid w:val="002074BE"/>
    <w:rsid w:val="00210066"/>
    <w:rsid w:val="0023482B"/>
    <w:rsid w:val="00251A63"/>
    <w:rsid w:val="0027542B"/>
    <w:rsid w:val="002758BD"/>
    <w:rsid w:val="00277900"/>
    <w:rsid w:val="002821CF"/>
    <w:rsid w:val="00290431"/>
    <w:rsid w:val="00293C08"/>
    <w:rsid w:val="00294B4E"/>
    <w:rsid w:val="00295486"/>
    <w:rsid w:val="002A634F"/>
    <w:rsid w:val="002B5A02"/>
    <w:rsid w:val="002D38B5"/>
    <w:rsid w:val="002E0BC5"/>
    <w:rsid w:val="002F3912"/>
    <w:rsid w:val="002F406F"/>
    <w:rsid w:val="00306CF2"/>
    <w:rsid w:val="00307630"/>
    <w:rsid w:val="00332750"/>
    <w:rsid w:val="00333A11"/>
    <w:rsid w:val="003347B2"/>
    <w:rsid w:val="00347405"/>
    <w:rsid w:val="00351082"/>
    <w:rsid w:val="003654FA"/>
    <w:rsid w:val="00366593"/>
    <w:rsid w:val="00371595"/>
    <w:rsid w:val="0038408E"/>
    <w:rsid w:val="003843F3"/>
    <w:rsid w:val="00390DCE"/>
    <w:rsid w:val="0039697E"/>
    <w:rsid w:val="00397FD0"/>
    <w:rsid w:val="003A5BE7"/>
    <w:rsid w:val="003D059D"/>
    <w:rsid w:val="004039B7"/>
    <w:rsid w:val="004072E8"/>
    <w:rsid w:val="00407860"/>
    <w:rsid w:val="00411147"/>
    <w:rsid w:val="00416144"/>
    <w:rsid w:val="00416EE8"/>
    <w:rsid w:val="004177AA"/>
    <w:rsid w:val="0042087F"/>
    <w:rsid w:val="00437B43"/>
    <w:rsid w:val="0047287A"/>
    <w:rsid w:val="00474603"/>
    <w:rsid w:val="00476615"/>
    <w:rsid w:val="00480891"/>
    <w:rsid w:val="00481362"/>
    <w:rsid w:val="00486F9F"/>
    <w:rsid w:val="0049733C"/>
    <w:rsid w:val="004B001E"/>
    <w:rsid w:val="004B36B1"/>
    <w:rsid w:val="004C4197"/>
    <w:rsid w:val="004D1510"/>
    <w:rsid w:val="004E642C"/>
    <w:rsid w:val="004F63BB"/>
    <w:rsid w:val="0052375C"/>
    <w:rsid w:val="005350F1"/>
    <w:rsid w:val="00540BC0"/>
    <w:rsid w:val="00541F3E"/>
    <w:rsid w:val="00544889"/>
    <w:rsid w:val="0056486D"/>
    <w:rsid w:val="00565284"/>
    <w:rsid w:val="00565BC0"/>
    <w:rsid w:val="00582BF3"/>
    <w:rsid w:val="00584637"/>
    <w:rsid w:val="00595A5C"/>
    <w:rsid w:val="005B7B31"/>
    <w:rsid w:val="005C743B"/>
    <w:rsid w:val="005D0CB9"/>
    <w:rsid w:val="005D7A48"/>
    <w:rsid w:val="005E72BD"/>
    <w:rsid w:val="005F1BA2"/>
    <w:rsid w:val="00601DA3"/>
    <w:rsid w:val="00620708"/>
    <w:rsid w:val="00630F30"/>
    <w:rsid w:val="00646FEC"/>
    <w:rsid w:val="0065389F"/>
    <w:rsid w:val="006608AB"/>
    <w:rsid w:val="00664913"/>
    <w:rsid w:val="00675847"/>
    <w:rsid w:val="006A3797"/>
    <w:rsid w:val="006A5BD6"/>
    <w:rsid w:val="006B113E"/>
    <w:rsid w:val="006B5426"/>
    <w:rsid w:val="006D5D9F"/>
    <w:rsid w:val="006F4D74"/>
    <w:rsid w:val="007063CF"/>
    <w:rsid w:val="007072E2"/>
    <w:rsid w:val="007100C6"/>
    <w:rsid w:val="00714EE2"/>
    <w:rsid w:val="0073053A"/>
    <w:rsid w:val="00757581"/>
    <w:rsid w:val="0077027F"/>
    <w:rsid w:val="0077417F"/>
    <w:rsid w:val="007755BD"/>
    <w:rsid w:val="00783994"/>
    <w:rsid w:val="00786835"/>
    <w:rsid w:val="007945DC"/>
    <w:rsid w:val="007A7E4D"/>
    <w:rsid w:val="007C33AE"/>
    <w:rsid w:val="00800ED6"/>
    <w:rsid w:val="008043FC"/>
    <w:rsid w:val="00806885"/>
    <w:rsid w:val="008309F6"/>
    <w:rsid w:val="0083798B"/>
    <w:rsid w:val="00843F6A"/>
    <w:rsid w:val="0085567F"/>
    <w:rsid w:val="008619DB"/>
    <w:rsid w:val="008630C3"/>
    <w:rsid w:val="0088617F"/>
    <w:rsid w:val="00892447"/>
    <w:rsid w:val="008962D5"/>
    <w:rsid w:val="008C2099"/>
    <w:rsid w:val="008F0115"/>
    <w:rsid w:val="00925F56"/>
    <w:rsid w:val="009368ED"/>
    <w:rsid w:val="00941B85"/>
    <w:rsid w:val="009466CF"/>
    <w:rsid w:val="00963247"/>
    <w:rsid w:val="00995A9E"/>
    <w:rsid w:val="009A221F"/>
    <w:rsid w:val="009B75E6"/>
    <w:rsid w:val="009C09CC"/>
    <w:rsid w:val="009D031C"/>
    <w:rsid w:val="009D602F"/>
    <w:rsid w:val="009F2F09"/>
    <w:rsid w:val="00A117D6"/>
    <w:rsid w:val="00A171B6"/>
    <w:rsid w:val="00A21996"/>
    <w:rsid w:val="00A43E38"/>
    <w:rsid w:val="00A565F2"/>
    <w:rsid w:val="00A75275"/>
    <w:rsid w:val="00A77D53"/>
    <w:rsid w:val="00A87541"/>
    <w:rsid w:val="00A93648"/>
    <w:rsid w:val="00AA1A6B"/>
    <w:rsid w:val="00AA6470"/>
    <w:rsid w:val="00AB635E"/>
    <w:rsid w:val="00AD77FA"/>
    <w:rsid w:val="00AF2203"/>
    <w:rsid w:val="00AF2D05"/>
    <w:rsid w:val="00AF6CCF"/>
    <w:rsid w:val="00B04E14"/>
    <w:rsid w:val="00B1012F"/>
    <w:rsid w:val="00B1028A"/>
    <w:rsid w:val="00B21F2C"/>
    <w:rsid w:val="00B43994"/>
    <w:rsid w:val="00B44648"/>
    <w:rsid w:val="00B50EA9"/>
    <w:rsid w:val="00B54D6E"/>
    <w:rsid w:val="00B56345"/>
    <w:rsid w:val="00B628F8"/>
    <w:rsid w:val="00B71E6A"/>
    <w:rsid w:val="00B74C22"/>
    <w:rsid w:val="00B76BE1"/>
    <w:rsid w:val="00B8458E"/>
    <w:rsid w:val="00B9562C"/>
    <w:rsid w:val="00BA39D7"/>
    <w:rsid w:val="00BB1952"/>
    <w:rsid w:val="00BB2021"/>
    <w:rsid w:val="00BD052D"/>
    <w:rsid w:val="00BD753D"/>
    <w:rsid w:val="00BE5D78"/>
    <w:rsid w:val="00C07F7A"/>
    <w:rsid w:val="00C229E0"/>
    <w:rsid w:val="00C27EEC"/>
    <w:rsid w:val="00C71C2E"/>
    <w:rsid w:val="00C87AF4"/>
    <w:rsid w:val="00CA55F8"/>
    <w:rsid w:val="00CB3181"/>
    <w:rsid w:val="00CD0A81"/>
    <w:rsid w:val="00D05837"/>
    <w:rsid w:val="00D24CD9"/>
    <w:rsid w:val="00D308A7"/>
    <w:rsid w:val="00D375DE"/>
    <w:rsid w:val="00D404AC"/>
    <w:rsid w:val="00D43EA4"/>
    <w:rsid w:val="00D50C28"/>
    <w:rsid w:val="00D619A4"/>
    <w:rsid w:val="00D754EB"/>
    <w:rsid w:val="00DA584C"/>
    <w:rsid w:val="00DA5D2D"/>
    <w:rsid w:val="00DA662C"/>
    <w:rsid w:val="00DB39FE"/>
    <w:rsid w:val="00DB41BF"/>
    <w:rsid w:val="00DC316B"/>
    <w:rsid w:val="00DF04B4"/>
    <w:rsid w:val="00DF5707"/>
    <w:rsid w:val="00DF685C"/>
    <w:rsid w:val="00E017D1"/>
    <w:rsid w:val="00E02534"/>
    <w:rsid w:val="00E1540F"/>
    <w:rsid w:val="00E167E9"/>
    <w:rsid w:val="00E30640"/>
    <w:rsid w:val="00E32538"/>
    <w:rsid w:val="00E50F54"/>
    <w:rsid w:val="00E66CA8"/>
    <w:rsid w:val="00E84971"/>
    <w:rsid w:val="00E92DB6"/>
    <w:rsid w:val="00EA4179"/>
    <w:rsid w:val="00EC4768"/>
    <w:rsid w:val="00ED2352"/>
    <w:rsid w:val="00ED35DA"/>
    <w:rsid w:val="00EE6C9C"/>
    <w:rsid w:val="00F076B4"/>
    <w:rsid w:val="00F10BE2"/>
    <w:rsid w:val="00F11571"/>
    <w:rsid w:val="00F12879"/>
    <w:rsid w:val="00F129B9"/>
    <w:rsid w:val="00F143EE"/>
    <w:rsid w:val="00F25526"/>
    <w:rsid w:val="00F26433"/>
    <w:rsid w:val="00F455B6"/>
    <w:rsid w:val="00F5407C"/>
    <w:rsid w:val="00F55F49"/>
    <w:rsid w:val="00F60B05"/>
    <w:rsid w:val="00F72FF5"/>
    <w:rsid w:val="00F94514"/>
    <w:rsid w:val="00FB370E"/>
    <w:rsid w:val="00FB4010"/>
    <w:rsid w:val="00FB43B5"/>
    <w:rsid w:val="00FC5CA2"/>
    <w:rsid w:val="00FD189F"/>
    <w:rsid w:val="00FE65C9"/>
    <w:rsid w:val="00FF259C"/>
    <w:rsid w:val="00FF5EB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6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D77FA"/>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AD77FA"/>
    <w:rPr>
      <w:rFonts w:ascii="Tahoma" w:hAnsi="Tahoma" w:cs="Tahoma"/>
      <w:sz w:val="16"/>
      <w:szCs w:val="16"/>
    </w:rPr>
  </w:style>
  <w:style w:type="paragraph" w:styleId="a4">
    <w:name w:val="header"/>
    <w:basedOn w:val="a"/>
    <w:link w:val="Char0"/>
    <w:uiPriority w:val="99"/>
    <w:unhideWhenUsed/>
    <w:rsid w:val="00251A63"/>
    <w:pPr>
      <w:tabs>
        <w:tab w:val="center" w:pos="4153"/>
        <w:tab w:val="right" w:pos="8306"/>
      </w:tabs>
      <w:spacing w:after="0" w:line="240" w:lineRule="auto"/>
    </w:pPr>
  </w:style>
  <w:style w:type="character" w:customStyle="1" w:styleId="Char0">
    <w:name w:val="Κεφαλίδα Char"/>
    <w:basedOn w:val="a0"/>
    <w:link w:val="a4"/>
    <w:uiPriority w:val="99"/>
    <w:rsid w:val="00251A63"/>
  </w:style>
  <w:style w:type="paragraph" w:styleId="a5">
    <w:name w:val="footer"/>
    <w:basedOn w:val="a"/>
    <w:link w:val="Char1"/>
    <w:uiPriority w:val="99"/>
    <w:semiHidden/>
    <w:unhideWhenUsed/>
    <w:rsid w:val="00251A63"/>
    <w:pPr>
      <w:tabs>
        <w:tab w:val="center" w:pos="4153"/>
        <w:tab w:val="right" w:pos="8306"/>
      </w:tabs>
      <w:spacing w:after="0" w:line="240" w:lineRule="auto"/>
    </w:pPr>
  </w:style>
  <w:style w:type="character" w:customStyle="1" w:styleId="Char1">
    <w:name w:val="Υποσέλιδο Char"/>
    <w:basedOn w:val="a0"/>
    <w:link w:val="a5"/>
    <w:uiPriority w:val="99"/>
    <w:semiHidden/>
    <w:rsid w:val="00251A63"/>
  </w:style>
</w:styles>
</file>

<file path=word/webSettings.xml><?xml version="1.0" encoding="utf-8"?>
<w:webSettings xmlns:r="http://schemas.openxmlformats.org/officeDocument/2006/relationships" xmlns:w="http://schemas.openxmlformats.org/wordprocessingml/2006/main">
  <w:divs>
    <w:div w:id="1540049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21" Type="http://schemas.openxmlformats.org/officeDocument/2006/relationships/oleObject" Target="embeddings/oleObject8.bin"/><Relationship Id="rId34" Type="http://schemas.openxmlformats.org/officeDocument/2006/relationships/image" Target="media/image15.wmf"/><Relationship Id="rId42" Type="http://schemas.openxmlformats.org/officeDocument/2006/relationships/image" Target="media/image19.wmf"/><Relationship Id="rId47" Type="http://schemas.openxmlformats.org/officeDocument/2006/relationships/image" Target="media/image22.wmf"/><Relationship Id="rId50" Type="http://schemas.openxmlformats.org/officeDocument/2006/relationships/image" Target="media/image24.wmf"/><Relationship Id="rId55" Type="http://schemas.openxmlformats.org/officeDocument/2006/relationships/image" Target="media/image27.wmf"/><Relationship Id="rId63" Type="http://schemas.openxmlformats.org/officeDocument/2006/relationships/image" Target="media/image31.wmf"/><Relationship Id="rId68" Type="http://schemas.openxmlformats.org/officeDocument/2006/relationships/image" Target="media/image34.wmf"/><Relationship Id="rId76" Type="http://schemas.openxmlformats.org/officeDocument/2006/relationships/image" Target="media/image38.png"/><Relationship Id="rId84" Type="http://schemas.openxmlformats.org/officeDocument/2006/relationships/image" Target="media/image43.wmf"/><Relationship Id="rId89" Type="http://schemas.openxmlformats.org/officeDocument/2006/relationships/oleObject" Target="embeddings/oleObject39.bin"/><Relationship Id="rId97" Type="http://schemas.openxmlformats.org/officeDocument/2006/relationships/fontTable" Target="fontTable.xml"/><Relationship Id="rId7" Type="http://schemas.openxmlformats.org/officeDocument/2006/relationships/oleObject" Target="embeddings/oleObject1.bin"/><Relationship Id="rId71" Type="http://schemas.openxmlformats.org/officeDocument/2006/relationships/oleObject" Target="embeddings/oleObject31.bin"/><Relationship Id="rId92" Type="http://schemas.openxmlformats.org/officeDocument/2006/relationships/image" Target="media/image47.wmf"/><Relationship Id="rId2" Type="http://schemas.openxmlformats.org/officeDocument/2006/relationships/settings" Target="settings.xml"/><Relationship Id="rId16" Type="http://schemas.openxmlformats.org/officeDocument/2006/relationships/image" Target="media/image6.wmf"/><Relationship Id="rId29" Type="http://schemas.openxmlformats.org/officeDocument/2006/relationships/oleObject" Target="embeddings/oleObject12.bin"/><Relationship Id="rId11" Type="http://schemas.openxmlformats.org/officeDocument/2006/relationships/oleObject" Target="embeddings/oleObject3.bin"/><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oleObject" Target="embeddings/oleObject16.bin"/><Relationship Id="rId40" Type="http://schemas.openxmlformats.org/officeDocument/2006/relationships/image" Target="media/image18.wmf"/><Relationship Id="rId45" Type="http://schemas.openxmlformats.org/officeDocument/2006/relationships/oleObject" Target="embeddings/oleObject20.bin"/><Relationship Id="rId53" Type="http://schemas.openxmlformats.org/officeDocument/2006/relationships/image" Target="media/image26.wmf"/><Relationship Id="rId58" Type="http://schemas.openxmlformats.org/officeDocument/2006/relationships/oleObject" Target="embeddings/oleObject25.bin"/><Relationship Id="rId66" Type="http://schemas.openxmlformats.org/officeDocument/2006/relationships/image" Target="media/image33.wmf"/><Relationship Id="rId74" Type="http://schemas.openxmlformats.org/officeDocument/2006/relationships/image" Target="media/image37.wmf"/><Relationship Id="rId79" Type="http://schemas.openxmlformats.org/officeDocument/2006/relationships/image" Target="media/image40.wmf"/><Relationship Id="rId87" Type="http://schemas.openxmlformats.org/officeDocument/2006/relationships/oleObject" Target="embeddings/oleObject38.bin"/><Relationship Id="rId5" Type="http://schemas.openxmlformats.org/officeDocument/2006/relationships/endnotes" Target="endnotes.xml"/><Relationship Id="rId61" Type="http://schemas.openxmlformats.org/officeDocument/2006/relationships/image" Target="media/image30.wmf"/><Relationship Id="rId82" Type="http://schemas.openxmlformats.org/officeDocument/2006/relationships/image" Target="media/image42.wmf"/><Relationship Id="rId90" Type="http://schemas.openxmlformats.org/officeDocument/2006/relationships/image" Target="media/image46.wmf"/><Relationship Id="rId95" Type="http://schemas.openxmlformats.org/officeDocument/2006/relationships/oleObject" Target="embeddings/oleObject42.bin"/><Relationship Id="rId19" Type="http://schemas.openxmlformats.org/officeDocument/2006/relationships/oleObject" Target="embeddings/oleObject7.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1.bin"/><Relationship Id="rId30" Type="http://schemas.openxmlformats.org/officeDocument/2006/relationships/image" Target="media/image13.wmf"/><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oleObject" Target="embeddings/oleObject21.bin"/><Relationship Id="rId56" Type="http://schemas.openxmlformats.org/officeDocument/2006/relationships/oleObject" Target="embeddings/oleObject24.bin"/><Relationship Id="rId64" Type="http://schemas.openxmlformats.org/officeDocument/2006/relationships/oleObject" Target="embeddings/oleObject28.bin"/><Relationship Id="rId69" Type="http://schemas.openxmlformats.org/officeDocument/2006/relationships/oleObject" Target="embeddings/oleObject30.bin"/><Relationship Id="rId77" Type="http://schemas.openxmlformats.org/officeDocument/2006/relationships/image" Target="media/image39.wmf"/><Relationship Id="rId8" Type="http://schemas.openxmlformats.org/officeDocument/2006/relationships/image" Target="media/image2.wmf"/><Relationship Id="rId51" Type="http://schemas.openxmlformats.org/officeDocument/2006/relationships/oleObject" Target="embeddings/oleObject22.bin"/><Relationship Id="rId72" Type="http://schemas.openxmlformats.org/officeDocument/2006/relationships/image" Target="media/image36.wmf"/><Relationship Id="rId80" Type="http://schemas.openxmlformats.org/officeDocument/2006/relationships/oleObject" Target="embeddings/oleObject35.bin"/><Relationship Id="rId85" Type="http://schemas.openxmlformats.org/officeDocument/2006/relationships/oleObject" Target="embeddings/oleObject37.bin"/><Relationship Id="rId93" Type="http://schemas.openxmlformats.org/officeDocument/2006/relationships/oleObject" Target="embeddings/oleObject41.bin"/><Relationship Id="rId98"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image" Target="media/image17.wmf"/><Relationship Id="rId46" Type="http://schemas.openxmlformats.org/officeDocument/2006/relationships/image" Target="media/image21.png"/><Relationship Id="rId59" Type="http://schemas.openxmlformats.org/officeDocument/2006/relationships/image" Target="media/image29.wmf"/><Relationship Id="rId67" Type="http://schemas.openxmlformats.org/officeDocument/2006/relationships/oleObject" Target="embeddings/oleObject29.bin"/><Relationship Id="rId20" Type="http://schemas.openxmlformats.org/officeDocument/2006/relationships/image" Target="media/image8.wmf"/><Relationship Id="rId41" Type="http://schemas.openxmlformats.org/officeDocument/2006/relationships/oleObject" Target="embeddings/oleObject18.bin"/><Relationship Id="rId54" Type="http://schemas.openxmlformats.org/officeDocument/2006/relationships/oleObject" Target="embeddings/oleObject23.bin"/><Relationship Id="rId62" Type="http://schemas.openxmlformats.org/officeDocument/2006/relationships/oleObject" Target="embeddings/oleObject27.bin"/><Relationship Id="rId70" Type="http://schemas.openxmlformats.org/officeDocument/2006/relationships/image" Target="media/image35.wmf"/><Relationship Id="rId75" Type="http://schemas.openxmlformats.org/officeDocument/2006/relationships/oleObject" Target="embeddings/oleObject33.bin"/><Relationship Id="rId83" Type="http://schemas.openxmlformats.org/officeDocument/2006/relationships/oleObject" Target="embeddings/oleObject36.bin"/><Relationship Id="rId88" Type="http://schemas.openxmlformats.org/officeDocument/2006/relationships/image" Target="media/image45.wmf"/><Relationship Id="rId91" Type="http://schemas.openxmlformats.org/officeDocument/2006/relationships/oleObject" Target="embeddings/oleObject40.bin"/><Relationship Id="rId96"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wmf"/><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image" Target="media/image23.png"/><Relationship Id="rId57" Type="http://schemas.openxmlformats.org/officeDocument/2006/relationships/image" Target="media/image28.wmf"/><Relationship Id="rId10" Type="http://schemas.openxmlformats.org/officeDocument/2006/relationships/image" Target="media/image3.wmf"/><Relationship Id="rId31" Type="http://schemas.openxmlformats.org/officeDocument/2006/relationships/oleObject" Target="embeddings/oleObject13.bin"/><Relationship Id="rId44" Type="http://schemas.openxmlformats.org/officeDocument/2006/relationships/image" Target="media/image20.wmf"/><Relationship Id="rId52" Type="http://schemas.openxmlformats.org/officeDocument/2006/relationships/image" Target="media/image25.png"/><Relationship Id="rId60" Type="http://schemas.openxmlformats.org/officeDocument/2006/relationships/oleObject" Target="embeddings/oleObject26.bin"/><Relationship Id="rId65" Type="http://schemas.openxmlformats.org/officeDocument/2006/relationships/image" Target="media/image32.png"/><Relationship Id="rId73" Type="http://schemas.openxmlformats.org/officeDocument/2006/relationships/oleObject" Target="embeddings/oleObject32.bin"/><Relationship Id="rId78" Type="http://schemas.openxmlformats.org/officeDocument/2006/relationships/oleObject" Target="embeddings/oleObject34.bin"/><Relationship Id="rId81" Type="http://schemas.openxmlformats.org/officeDocument/2006/relationships/image" Target="media/image41.png"/><Relationship Id="rId86" Type="http://schemas.openxmlformats.org/officeDocument/2006/relationships/image" Target="media/image44.wmf"/><Relationship Id="rId94" Type="http://schemas.openxmlformats.org/officeDocument/2006/relationships/image" Target="media/image48.wmf"/><Relationship Id="rId4" Type="http://schemas.openxmlformats.org/officeDocument/2006/relationships/footnotes" Target="footnotes.xml"/><Relationship Id="rId9" Type="http://schemas.openxmlformats.org/officeDocument/2006/relationships/oleObject" Target="embeddings/oleObject2.bin"/><Relationship Id="rId13" Type="http://schemas.openxmlformats.org/officeDocument/2006/relationships/oleObject" Target="embeddings/oleObject4.bin"/><Relationship Id="rId18" Type="http://schemas.openxmlformats.org/officeDocument/2006/relationships/image" Target="media/image7.wmf"/><Relationship Id="rId39" Type="http://schemas.openxmlformats.org/officeDocument/2006/relationships/oleObject" Target="embeddings/oleObject17.bin"/></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1197</Words>
  <Characters>6468</Characters>
  <Application>Microsoft Office Word</Application>
  <DocSecurity>0</DocSecurity>
  <Lines>53</Lines>
  <Paragraphs>15</Paragraphs>
  <ScaleCrop>false</ScaleCrop>
  <Company>Hewlett-Packard Company</Company>
  <LinksUpToDate>false</LinksUpToDate>
  <CharactersWithSpaces>7650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propylaia</dc:creator>
  <cp:lastModifiedBy>propylaia</cp:lastModifiedBy>
  <cp:revision>18</cp:revision>
  <dcterms:created xsi:type="dcterms:W3CDTF">2018-08-22T08:08:00Z</dcterms:created>
  <dcterms:modified xsi:type="dcterms:W3CDTF">2019-01-22T10:41:00Z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